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08" w:rsidRPr="00F04857" w:rsidRDefault="00114008" w:rsidP="00114008">
      <w:pPr>
        <w:jc w:val="center"/>
        <w:rPr>
          <w:rFonts w:ascii="Arial" w:hAnsi="Arial" w:cs="Arial"/>
          <w:sz w:val="20"/>
          <w:u w:val="single"/>
        </w:rPr>
      </w:pPr>
      <w:r w:rsidRPr="00F04857">
        <w:rPr>
          <w:rFonts w:ascii="Arial" w:hAnsi="Arial" w:cs="Arial"/>
          <w:sz w:val="20"/>
          <w:u w:val="single"/>
        </w:rPr>
        <w:t xml:space="preserve">Pledge </w:t>
      </w:r>
      <w:r w:rsidR="000165B5" w:rsidRPr="00F04857">
        <w:rPr>
          <w:rFonts w:ascii="Arial" w:hAnsi="Arial" w:cs="Arial"/>
          <w:sz w:val="20"/>
          <w:u w:val="single"/>
        </w:rPr>
        <w:t>to</w:t>
      </w:r>
      <w:r w:rsidRPr="00F04857">
        <w:rPr>
          <w:rFonts w:ascii="Arial" w:hAnsi="Arial" w:cs="Arial"/>
          <w:sz w:val="20"/>
          <w:u w:val="single"/>
        </w:rPr>
        <w:t xml:space="preserve"> MAGIC</w:t>
      </w:r>
    </w:p>
    <w:p w:rsidR="00114008" w:rsidRPr="00F04857" w:rsidRDefault="00114008" w:rsidP="00114008">
      <w:p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t xml:space="preserve">MAGIC is a quality improvement project created by BRS Vascular Access and </w:t>
      </w:r>
      <w:r w:rsidR="00A76A16" w:rsidRPr="00F04857">
        <w:rPr>
          <w:rFonts w:ascii="Arial" w:hAnsi="Arial" w:cs="Arial"/>
          <w:sz w:val="20"/>
        </w:rPr>
        <w:t xml:space="preserve">the </w:t>
      </w:r>
      <w:r w:rsidRPr="00F04857">
        <w:rPr>
          <w:rFonts w:ascii="Arial" w:hAnsi="Arial" w:cs="Arial"/>
          <w:sz w:val="20"/>
        </w:rPr>
        <w:t>Vascular Access Society of Britain and Ireland (VASBI)</w:t>
      </w:r>
      <w:r w:rsidR="005226A5" w:rsidRPr="00F04857">
        <w:rPr>
          <w:rFonts w:ascii="Arial" w:hAnsi="Arial" w:cs="Arial"/>
          <w:sz w:val="20"/>
        </w:rPr>
        <w:t xml:space="preserve"> and</w:t>
      </w:r>
      <w:r w:rsidRPr="00F04857">
        <w:rPr>
          <w:rFonts w:ascii="Arial" w:hAnsi="Arial" w:cs="Arial"/>
          <w:sz w:val="20"/>
        </w:rPr>
        <w:t xml:space="preserve"> </w:t>
      </w:r>
      <w:r w:rsidR="00A76A16" w:rsidRPr="00F04857">
        <w:rPr>
          <w:rFonts w:ascii="Arial" w:hAnsi="Arial" w:cs="Arial"/>
          <w:sz w:val="20"/>
        </w:rPr>
        <w:t xml:space="preserve">is </w:t>
      </w:r>
      <w:r w:rsidRPr="00F04857">
        <w:rPr>
          <w:rFonts w:ascii="Arial" w:hAnsi="Arial" w:cs="Arial"/>
          <w:sz w:val="20"/>
        </w:rPr>
        <w:t xml:space="preserve">supported by the Kidney Quality Improvement Partnership (KQuIP). It aims to improve cannulation </w:t>
      </w:r>
      <w:r w:rsidR="00B34000" w:rsidRPr="00F04857">
        <w:rPr>
          <w:rFonts w:ascii="Arial" w:hAnsi="Arial" w:cs="Arial"/>
          <w:sz w:val="20"/>
        </w:rPr>
        <w:t xml:space="preserve">/ needling </w:t>
      </w:r>
      <w:r w:rsidRPr="00F04857">
        <w:rPr>
          <w:rFonts w:ascii="Arial" w:hAnsi="Arial" w:cs="Arial"/>
          <w:sz w:val="20"/>
        </w:rPr>
        <w:t>of arteriovenous fistulae (AVF) and grafts (AVG) using the ‘BRS Clinical Practice Recommendations for Needling of AVF and AVG’ as a basis to define best practice. The MAGIC group have developed a number of materials</w:t>
      </w:r>
      <w:r w:rsidR="005226A5" w:rsidRPr="00F04857">
        <w:rPr>
          <w:rFonts w:ascii="Arial" w:hAnsi="Arial" w:cs="Arial"/>
          <w:sz w:val="20"/>
        </w:rPr>
        <w:t xml:space="preserve">, endorsed by BRS and VASBI, </w:t>
      </w:r>
      <w:r w:rsidRPr="00F04857">
        <w:rPr>
          <w:rFonts w:ascii="Arial" w:hAnsi="Arial" w:cs="Arial"/>
          <w:sz w:val="20"/>
        </w:rPr>
        <w:t xml:space="preserve">to help units implement best </w:t>
      </w:r>
      <w:r w:rsidR="005226A5" w:rsidRPr="00F04857">
        <w:rPr>
          <w:rFonts w:ascii="Arial" w:hAnsi="Arial" w:cs="Arial"/>
          <w:sz w:val="20"/>
        </w:rPr>
        <w:t>needling</w:t>
      </w:r>
      <w:r w:rsidRPr="00F04857">
        <w:rPr>
          <w:rFonts w:ascii="Arial" w:hAnsi="Arial" w:cs="Arial"/>
          <w:sz w:val="20"/>
        </w:rPr>
        <w:t xml:space="preserve"> practice. The ultimate aim of MAGIC is to improve rates of AVF and AVG use through preserving the lifespan of existing AVF and AVG</w:t>
      </w:r>
      <w:r w:rsidR="005226A5" w:rsidRPr="00F04857">
        <w:rPr>
          <w:rFonts w:ascii="Arial" w:hAnsi="Arial" w:cs="Arial"/>
          <w:sz w:val="20"/>
        </w:rPr>
        <w:t xml:space="preserve">; </w:t>
      </w:r>
      <w:r w:rsidRPr="00F04857">
        <w:rPr>
          <w:rFonts w:ascii="Arial" w:hAnsi="Arial" w:cs="Arial"/>
          <w:sz w:val="20"/>
        </w:rPr>
        <w:t xml:space="preserve">improving patient experience of needling, to encourage </w:t>
      </w:r>
      <w:bookmarkStart w:id="0" w:name="_GoBack"/>
      <w:bookmarkEnd w:id="0"/>
      <w:r w:rsidRPr="00F04857">
        <w:rPr>
          <w:rFonts w:ascii="Arial" w:hAnsi="Arial" w:cs="Arial"/>
          <w:sz w:val="20"/>
        </w:rPr>
        <w:t>patients to choose AVF or AVF as their preferred type of vascular access</w:t>
      </w:r>
      <w:r w:rsidR="00782F94" w:rsidRPr="00F04857">
        <w:rPr>
          <w:rFonts w:ascii="Arial" w:hAnsi="Arial" w:cs="Arial"/>
          <w:sz w:val="20"/>
        </w:rPr>
        <w:t>, promoting service structures to support AVF/G formation and care</w:t>
      </w:r>
      <w:r w:rsidR="005226A5" w:rsidRPr="00F04857">
        <w:rPr>
          <w:rFonts w:ascii="Arial" w:hAnsi="Arial" w:cs="Arial"/>
          <w:sz w:val="20"/>
        </w:rPr>
        <w:t xml:space="preserve"> and promoting future quality improvement into vascular access</w:t>
      </w:r>
      <w:r w:rsidRPr="00F04857">
        <w:rPr>
          <w:rFonts w:ascii="Arial" w:hAnsi="Arial" w:cs="Arial"/>
          <w:sz w:val="20"/>
        </w:rPr>
        <w:t xml:space="preserve">.   </w:t>
      </w:r>
    </w:p>
    <w:p w:rsidR="00114008" w:rsidRPr="00F04857" w:rsidRDefault="00114008" w:rsidP="00114008">
      <w:p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t>MAGIC takes a collab</w:t>
      </w:r>
      <w:r w:rsidR="00BB3E55" w:rsidRPr="00F04857">
        <w:rPr>
          <w:rFonts w:ascii="Arial" w:hAnsi="Arial" w:cs="Arial"/>
          <w:sz w:val="20"/>
        </w:rPr>
        <w:t>orative approach. Individuals will</w:t>
      </w:r>
      <w:r w:rsidRPr="00F04857">
        <w:rPr>
          <w:rFonts w:ascii="Arial" w:hAnsi="Arial" w:cs="Arial"/>
          <w:sz w:val="20"/>
        </w:rPr>
        <w:t xml:space="preserve"> drive MAGIC within their own local area, with support and advice from experts involved in MAGIC and KQuIP. Therefore, there are a number of criteria that will improve the success of MAGIC within your region. </w:t>
      </w:r>
    </w:p>
    <w:p w:rsidR="00114008" w:rsidRPr="00F04857" w:rsidRDefault="00114008" w:rsidP="00114008">
      <w:pPr>
        <w:jc w:val="both"/>
        <w:rPr>
          <w:rFonts w:ascii="Arial" w:hAnsi="Arial" w:cs="Arial"/>
          <w:sz w:val="20"/>
          <w:u w:val="single"/>
        </w:rPr>
      </w:pPr>
      <w:r w:rsidRPr="00F04857">
        <w:rPr>
          <w:rFonts w:ascii="Arial" w:hAnsi="Arial" w:cs="Arial"/>
          <w:sz w:val="20"/>
          <w:u w:val="single"/>
        </w:rPr>
        <w:t>Criteria for Success</w:t>
      </w:r>
    </w:p>
    <w:p w:rsidR="00114008" w:rsidRPr="00F04857" w:rsidRDefault="00114008" w:rsidP="0011400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t xml:space="preserve">Units included </w:t>
      </w:r>
      <w:r w:rsidR="005226A5" w:rsidRPr="00F04857">
        <w:rPr>
          <w:rFonts w:ascii="Arial" w:hAnsi="Arial" w:cs="Arial"/>
          <w:sz w:val="20"/>
        </w:rPr>
        <w:t xml:space="preserve">in MAGIC require </w:t>
      </w:r>
      <w:r w:rsidRPr="00F04857">
        <w:rPr>
          <w:rFonts w:ascii="Arial" w:hAnsi="Arial" w:cs="Arial"/>
          <w:sz w:val="20"/>
        </w:rPr>
        <w:t>a desire to:</w:t>
      </w:r>
    </w:p>
    <w:p w:rsidR="00114008" w:rsidRPr="00F04857" w:rsidRDefault="00114008" w:rsidP="00114008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t>Improve their needling practice of AVF / AVG</w:t>
      </w:r>
    </w:p>
    <w:p w:rsidR="00114008" w:rsidRPr="00F04857" w:rsidRDefault="00114008" w:rsidP="00114008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t>Engage with haemodialysis patients about needling practice</w:t>
      </w:r>
    </w:p>
    <w:p w:rsidR="00114008" w:rsidRPr="00F04857" w:rsidRDefault="00114008" w:rsidP="00114008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t>Measure outcomes related to needling practice</w:t>
      </w:r>
    </w:p>
    <w:p w:rsidR="005226A5" w:rsidRPr="00F04857" w:rsidRDefault="005226A5" w:rsidP="00114008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t>Perform quality improvement into vascular access</w:t>
      </w:r>
    </w:p>
    <w:p w:rsidR="000165B5" w:rsidRPr="00F04857" w:rsidRDefault="000165B5" w:rsidP="000165B5">
      <w:pPr>
        <w:pStyle w:val="ListParagraph"/>
        <w:ind w:left="1440"/>
        <w:jc w:val="both"/>
        <w:rPr>
          <w:rFonts w:ascii="Arial" w:hAnsi="Arial" w:cs="Arial"/>
          <w:sz w:val="20"/>
        </w:rPr>
      </w:pPr>
    </w:p>
    <w:p w:rsidR="000165B5" w:rsidRPr="00F04857" w:rsidRDefault="000165B5" w:rsidP="000165B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t xml:space="preserve">Each unit </w:t>
      </w:r>
      <w:r w:rsidR="005226A5" w:rsidRPr="00F04857">
        <w:rPr>
          <w:rFonts w:ascii="Arial" w:hAnsi="Arial" w:cs="Arial"/>
          <w:sz w:val="20"/>
        </w:rPr>
        <w:t>will n</w:t>
      </w:r>
      <w:r w:rsidRPr="00F04857">
        <w:rPr>
          <w:rFonts w:ascii="Arial" w:hAnsi="Arial" w:cs="Arial"/>
          <w:sz w:val="20"/>
        </w:rPr>
        <w:t xml:space="preserve">ominate one or more needling champions. Needling champions should be haemodialysis staff who regularly needle AVF and AVG. If multiple champions are nominated, then one champion should be a lead. The lead needling champion </w:t>
      </w:r>
      <w:r w:rsidR="008A3E66" w:rsidRPr="00F04857">
        <w:rPr>
          <w:rFonts w:ascii="Arial" w:hAnsi="Arial" w:cs="Arial"/>
          <w:sz w:val="20"/>
        </w:rPr>
        <w:t>will</w:t>
      </w:r>
      <w:r w:rsidRPr="00F04857">
        <w:rPr>
          <w:rFonts w:ascii="Arial" w:hAnsi="Arial" w:cs="Arial"/>
          <w:sz w:val="20"/>
        </w:rPr>
        <w:t xml:space="preserve"> be a registered nurse who has enough seniority and experience to influence local renal unit policy and practice. </w:t>
      </w:r>
      <w:r w:rsidRPr="00F04857">
        <w:rPr>
          <w:rFonts w:ascii="Arial" w:hAnsi="Arial" w:cs="Arial"/>
          <w:sz w:val="20"/>
        </w:rPr>
        <w:br/>
      </w:r>
    </w:p>
    <w:p w:rsidR="000165B5" w:rsidRPr="00F04857" w:rsidRDefault="000165B5" w:rsidP="000165B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t xml:space="preserve">The </w:t>
      </w:r>
      <w:r w:rsidR="008A3E66" w:rsidRPr="00F04857">
        <w:rPr>
          <w:rFonts w:ascii="Arial" w:hAnsi="Arial" w:cs="Arial"/>
          <w:sz w:val="20"/>
        </w:rPr>
        <w:t xml:space="preserve">lead </w:t>
      </w:r>
      <w:r w:rsidRPr="00F04857">
        <w:rPr>
          <w:rFonts w:ascii="Arial" w:hAnsi="Arial" w:cs="Arial"/>
          <w:sz w:val="20"/>
        </w:rPr>
        <w:t>needling champion will:</w:t>
      </w:r>
    </w:p>
    <w:p w:rsidR="000165B5" w:rsidRPr="00F04857" w:rsidRDefault="000165B5" w:rsidP="000165B5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t>Collect data monthly, on the defined objectives for MAGIC and any regionally agreed data</w:t>
      </w:r>
    </w:p>
    <w:p w:rsidR="000165B5" w:rsidRPr="00F04857" w:rsidRDefault="000165B5" w:rsidP="000165B5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t>Implement the educational materials, competency package and awareness materials at the set time points in MAGIC</w:t>
      </w:r>
    </w:p>
    <w:p w:rsidR="000165B5" w:rsidRPr="00F04857" w:rsidRDefault="000165B5" w:rsidP="00114008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t xml:space="preserve">Actively </w:t>
      </w:r>
      <w:r w:rsidR="00A76A16" w:rsidRPr="00F04857">
        <w:rPr>
          <w:rFonts w:ascii="Arial" w:hAnsi="Arial" w:cs="Arial"/>
          <w:sz w:val="20"/>
        </w:rPr>
        <w:t>participate</w:t>
      </w:r>
      <w:r w:rsidRPr="00F04857">
        <w:rPr>
          <w:rFonts w:ascii="Arial" w:hAnsi="Arial" w:cs="Arial"/>
          <w:sz w:val="20"/>
        </w:rPr>
        <w:t xml:space="preserve"> in discussions through attendan</w:t>
      </w:r>
      <w:r w:rsidR="00BB3E55" w:rsidRPr="00F04857">
        <w:rPr>
          <w:rFonts w:ascii="Arial" w:hAnsi="Arial" w:cs="Arial"/>
          <w:sz w:val="20"/>
        </w:rPr>
        <w:t xml:space="preserve">ce at </w:t>
      </w:r>
      <w:proofErr w:type="spellStart"/>
      <w:r w:rsidR="00BB3E55" w:rsidRPr="00F04857">
        <w:rPr>
          <w:rFonts w:ascii="Arial" w:hAnsi="Arial" w:cs="Arial"/>
          <w:sz w:val="20"/>
        </w:rPr>
        <w:t>KQuIP</w:t>
      </w:r>
      <w:proofErr w:type="spellEnd"/>
      <w:r w:rsidR="00BB3E55" w:rsidRPr="00F04857">
        <w:rPr>
          <w:rFonts w:ascii="Arial" w:hAnsi="Arial" w:cs="Arial"/>
          <w:sz w:val="20"/>
        </w:rPr>
        <w:t xml:space="preserve"> regional activities</w:t>
      </w:r>
      <w:r w:rsidR="006F4CD6" w:rsidRPr="00F04857">
        <w:rPr>
          <w:rFonts w:ascii="Arial" w:hAnsi="Arial" w:cs="Arial"/>
          <w:sz w:val="20"/>
        </w:rPr>
        <w:t xml:space="preserve"> and MAGIC webinars / calls</w:t>
      </w:r>
      <w:r w:rsidRPr="00F04857">
        <w:rPr>
          <w:rFonts w:ascii="Arial" w:hAnsi="Arial" w:cs="Arial"/>
          <w:sz w:val="20"/>
        </w:rPr>
        <w:t>.</w:t>
      </w:r>
      <w:r w:rsidR="00BB3E55" w:rsidRPr="00F04857">
        <w:rPr>
          <w:rFonts w:ascii="Arial" w:hAnsi="Arial" w:cs="Arial"/>
          <w:sz w:val="20"/>
        </w:rPr>
        <w:t xml:space="preserve"> This will include </w:t>
      </w:r>
      <w:r w:rsidR="006F4CD6" w:rsidRPr="00F04857">
        <w:rPr>
          <w:rFonts w:ascii="Arial" w:hAnsi="Arial" w:cs="Arial"/>
          <w:sz w:val="20"/>
        </w:rPr>
        <w:t>7</w:t>
      </w:r>
      <w:r w:rsidR="00BB3E55" w:rsidRPr="00F04857">
        <w:rPr>
          <w:rFonts w:ascii="Arial" w:hAnsi="Arial" w:cs="Arial"/>
          <w:sz w:val="20"/>
        </w:rPr>
        <w:t xml:space="preserve"> regional study days and 3 </w:t>
      </w:r>
      <w:r w:rsidR="008A3E66" w:rsidRPr="00F04857">
        <w:rPr>
          <w:rFonts w:ascii="Arial" w:hAnsi="Arial" w:cs="Arial"/>
          <w:sz w:val="20"/>
        </w:rPr>
        <w:t xml:space="preserve">monthly MAGIC network </w:t>
      </w:r>
      <w:r w:rsidR="00BB3E55" w:rsidRPr="00F04857">
        <w:rPr>
          <w:rFonts w:ascii="Arial" w:hAnsi="Arial" w:cs="Arial"/>
          <w:sz w:val="20"/>
        </w:rPr>
        <w:t>webinars.</w:t>
      </w:r>
      <w:r w:rsidRPr="00F04857">
        <w:rPr>
          <w:rFonts w:ascii="Arial" w:hAnsi="Arial" w:cs="Arial"/>
          <w:sz w:val="20"/>
        </w:rPr>
        <w:t xml:space="preserve"> </w:t>
      </w:r>
    </w:p>
    <w:p w:rsidR="00D94FEE" w:rsidRPr="00F04857" w:rsidRDefault="000165B5" w:rsidP="00D94FEE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t>Deliver outcom</w:t>
      </w:r>
      <w:r w:rsidR="00BB3E55" w:rsidRPr="00F04857">
        <w:rPr>
          <w:rFonts w:ascii="Arial" w:hAnsi="Arial" w:cs="Arial"/>
          <w:sz w:val="20"/>
        </w:rPr>
        <w:t xml:space="preserve">e </w:t>
      </w:r>
      <w:r w:rsidR="006F4CD6" w:rsidRPr="00F04857">
        <w:rPr>
          <w:rFonts w:ascii="Arial" w:hAnsi="Arial" w:cs="Arial"/>
          <w:sz w:val="20"/>
        </w:rPr>
        <w:t xml:space="preserve">and process </w:t>
      </w:r>
      <w:r w:rsidR="00BB3E55" w:rsidRPr="00F04857">
        <w:rPr>
          <w:rFonts w:ascii="Arial" w:hAnsi="Arial" w:cs="Arial"/>
          <w:sz w:val="20"/>
        </w:rPr>
        <w:t xml:space="preserve">measures to MAGIC at </w:t>
      </w:r>
      <w:r w:rsidR="00A76A16" w:rsidRPr="00F04857">
        <w:rPr>
          <w:rFonts w:ascii="Arial" w:hAnsi="Arial" w:cs="Arial"/>
          <w:sz w:val="20"/>
        </w:rPr>
        <w:t xml:space="preserve">the </w:t>
      </w:r>
      <w:r w:rsidR="00BB3E55" w:rsidRPr="00F04857">
        <w:rPr>
          <w:rFonts w:ascii="Arial" w:hAnsi="Arial" w:cs="Arial"/>
          <w:sz w:val="20"/>
        </w:rPr>
        <w:t>set time</w:t>
      </w:r>
      <w:r w:rsidRPr="00F04857">
        <w:rPr>
          <w:rFonts w:ascii="Arial" w:hAnsi="Arial" w:cs="Arial"/>
          <w:sz w:val="20"/>
        </w:rPr>
        <w:t>.</w:t>
      </w:r>
    </w:p>
    <w:p w:rsidR="00B34000" w:rsidRPr="00F04857" w:rsidRDefault="00B34000" w:rsidP="00B34000">
      <w:pPr>
        <w:pStyle w:val="ListParagraph"/>
        <w:ind w:left="1440"/>
        <w:jc w:val="both"/>
        <w:rPr>
          <w:rFonts w:ascii="Arial" w:hAnsi="Arial" w:cs="Arial"/>
          <w:sz w:val="20"/>
        </w:rPr>
      </w:pPr>
    </w:p>
    <w:p w:rsidR="006F4CD6" w:rsidRPr="00F04857" w:rsidRDefault="006F4CD6" w:rsidP="006F4CD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t>Each unit will nominate a lead for the vascular access (VA) service appraisal work</w:t>
      </w:r>
      <w:r w:rsidR="008A3E66" w:rsidRPr="00F04857">
        <w:rPr>
          <w:rFonts w:ascii="Arial" w:hAnsi="Arial" w:cs="Arial"/>
          <w:sz w:val="20"/>
        </w:rPr>
        <w:t>.</w:t>
      </w:r>
      <w:r w:rsidRPr="00F04857">
        <w:rPr>
          <w:rFonts w:ascii="Arial" w:hAnsi="Arial" w:cs="Arial"/>
          <w:sz w:val="20"/>
        </w:rPr>
        <w:t xml:space="preserve"> </w:t>
      </w:r>
      <w:r w:rsidR="008A3E66" w:rsidRPr="00F04857">
        <w:rPr>
          <w:rFonts w:ascii="Arial" w:hAnsi="Arial" w:cs="Arial"/>
          <w:sz w:val="20"/>
        </w:rPr>
        <w:t xml:space="preserve">This </w:t>
      </w:r>
      <w:r w:rsidRPr="00F04857">
        <w:rPr>
          <w:rFonts w:ascii="Arial" w:hAnsi="Arial" w:cs="Arial"/>
          <w:sz w:val="20"/>
        </w:rPr>
        <w:t xml:space="preserve">will be a medical colleague at consultant level, who has the influence to lobby for changes to structures </w:t>
      </w:r>
      <w:r w:rsidR="008A3E66" w:rsidRPr="00F04857">
        <w:rPr>
          <w:rFonts w:ascii="Arial" w:hAnsi="Arial" w:cs="Arial"/>
          <w:sz w:val="20"/>
        </w:rPr>
        <w:t xml:space="preserve">of </w:t>
      </w:r>
      <w:r w:rsidRPr="00F04857">
        <w:rPr>
          <w:rFonts w:ascii="Arial" w:hAnsi="Arial" w:cs="Arial"/>
          <w:sz w:val="20"/>
        </w:rPr>
        <w:t xml:space="preserve">services and policies related to vascular access. </w:t>
      </w:r>
    </w:p>
    <w:p w:rsidR="006F4CD6" w:rsidRPr="00F04857" w:rsidRDefault="006F4CD6" w:rsidP="006F4CD6">
      <w:pPr>
        <w:pStyle w:val="ListParagraph"/>
        <w:jc w:val="both"/>
        <w:rPr>
          <w:rFonts w:ascii="Arial" w:hAnsi="Arial" w:cs="Arial"/>
          <w:sz w:val="20"/>
        </w:rPr>
      </w:pPr>
    </w:p>
    <w:p w:rsidR="006F4CD6" w:rsidRPr="00F04857" w:rsidRDefault="006F4CD6" w:rsidP="00B340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t>The VA service appraisal lead will:</w:t>
      </w:r>
    </w:p>
    <w:p w:rsidR="006F4CD6" w:rsidRPr="00F04857" w:rsidRDefault="006F4CD6" w:rsidP="006F4CD6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t xml:space="preserve">Lead the development of services, through PDSA cycles, following their own appraisal of their vascular access service. </w:t>
      </w:r>
    </w:p>
    <w:p w:rsidR="006F4CD6" w:rsidRPr="00F04857" w:rsidRDefault="006F4CD6" w:rsidP="006F4CD6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t>Work with a buddy unit within their region to compare strengths and weaknesses constructively.</w:t>
      </w:r>
    </w:p>
    <w:p w:rsidR="006F4CD6" w:rsidRPr="00F04857" w:rsidRDefault="006F4CD6" w:rsidP="006F4CD6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t xml:space="preserve">Actively participate in discussions through attendance at </w:t>
      </w:r>
      <w:proofErr w:type="spellStart"/>
      <w:r w:rsidRPr="00F04857">
        <w:rPr>
          <w:rFonts w:ascii="Arial" w:hAnsi="Arial" w:cs="Arial"/>
          <w:sz w:val="20"/>
        </w:rPr>
        <w:t>KQuIP</w:t>
      </w:r>
      <w:proofErr w:type="spellEnd"/>
      <w:r w:rsidRPr="00F04857">
        <w:rPr>
          <w:rFonts w:ascii="Arial" w:hAnsi="Arial" w:cs="Arial"/>
          <w:sz w:val="20"/>
        </w:rPr>
        <w:t xml:space="preserve"> regional activities and MAGIC webinars / calls. This will include 7 regional study days and 3 monthly webinars. </w:t>
      </w:r>
    </w:p>
    <w:p w:rsidR="006F4CD6" w:rsidRPr="00F04857" w:rsidRDefault="006F4CD6" w:rsidP="006F4CD6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lastRenderedPageBreak/>
        <w:t>Deliver outcome and process measures to MAGIC at the set time.</w:t>
      </w:r>
    </w:p>
    <w:p w:rsidR="006F4CD6" w:rsidRPr="00F04857" w:rsidRDefault="006F4CD6" w:rsidP="006F4CD6">
      <w:pPr>
        <w:pStyle w:val="ListParagraph"/>
        <w:jc w:val="both"/>
        <w:rPr>
          <w:rFonts w:ascii="Arial" w:hAnsi="Arial" w:cs="Arial"/>
          <w:sz w:val="20"/>
        </w:rPr>
      </w:pPr>
    </w:p>
    <w:p w:rsidR="006F4CD6" w:rsidRPr="00F04857" w:rsidRDefault="006F4CD6" w:rsidP="00B340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t xml:space="preserve">The 2 arms of MAGIC, needling practice and VA service appraisal, will have equal support and emphasis within MAGIC at local, regional and national level. </w:t>
      </w:r>
    </w:p>
    <w:p w:rsidR="006F4CD6" w:rsidRPr="00F04857" w:rsidRDefault="006F4CD6" w:rsidP="006F4CD6">
      <w:pPr>
        <w:pStyle w:val="ListParagraph"/>
        <w:jc w:val="both"/>
        <w:rPr>
          <w:rFonts w:ascii="Arial" w:hAnsi="Arial" w:cs="Arial"/>
          <w:sz w:val="20"/>
        </w:rPr>
      </w:pPr>
    </w:p>
    <w:p w:rsidR="006F4CD6" w:rsidRPr="00F04857" w:rsidRDefault="006F4CD6" w:rsidP="00B340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t xml:space="preserve">The needling champion and VA service appraisal lead will work together to implement MAGIC and collect the measures required for MAGIC. They should meet a minimum of monthly to review the progress of MAGIC and discuss required support. This meeting can be incorporated into existing meetings or arranged individually. </w:t>
      </w:r>
    </w:p>
    <w:p w:rsidR="006F4CD6" w:rsidRPr="00F04857" w:rsidRDefault="006F4CD6" w:rsidP="006F4CD6">
      <w:pPr>
        <w:pStyle w:val="ListParagraph"/>
        <w:jc w:val="both"/>
        <w:rPr>
          <w:rFonts w:ascii="Arial" w:hAnsi="Arial" w:cs="Arial"/>
          <w:sz w:val="20"/>
        </w:rPr>
      </w:pPr>
    </w:p>
    <w:p w:rsidR="006F4CD6" w:rsidRPr="00F04857" w:rsidRDefault="006F4CD6" w:rsidP="00B340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t xml:space="preserve">Each unit will expect to participate in peer review following on from their involvement in MAGIC. </w:t>
      </w:r>
    </w:p>
    <w:p w:rsidR="006F4CD6" w:rsidRPr="00F04857" w:rsidRDefault="006F4CD6" w:rsidP="006F4CD6">
      <w:pPr>
        <w:pStyle w:val="ListParagraph"/>
        <w:rPr>
          <w:rFonts w:ascii="Arial" w:hAnsi="Arial" w:cs="Arial"/>
          <w:sz w:val="20"/>
        </w:rPr>
      </w:pPr>
    </w:p>
    <w:p w:rsidR="00B34000" w:rsidRPr="00F04857" w:rsidRDefault="00B34000" w:rsidP="00B340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t xml:space="preserve">Units involved in MAGIC will collaborate with other units in a professional and constructive manner, appreciating the diverse </w:t>
      </w:r>
      <w:r w:rsidR="008A3E66" w:rsidRPr="00F04857">
        <w:rPr>
          <w:rFonts w:ascii="Arial" w:hAnsi="Arial" w:cs="Arial"/>
          <w:sz w:val="20"/>
        </w:rPr>
        <w:t>culture</w:t>
      </w:r>
      <w:r w:rsidRPr="00F04857">
        <w:rPr>
          <w:rFonts w:ascii="Arial" w:hAnsi="Arial" w:cs="Arial"/>
          <w:sz w:val="20"/>
        </w:rPr>
        <w:t xml:space="preserve"> each unit bring</w:t>
      </w:r>
      <w:r w:rsidR="008A3E66" w:rsidRPr="00F04857">
        <w:rPr>
          <w:rFonts w:ascii="Arial" w:hAnsi="Arial" w:cs="Arial"/>
          <w:sz w:val="20"/>
        </w:rPr>
        <w:t>s</w:t>
      </w:r>
      <w:r w:rsidRPr="00F04857">
        <w:rPr>
          <w:rFonts w:ascii="Arial" w:hAnsi="Arial" w:cs="Arial"/>
          <w:sz w:val="20"/>
        </w:rPr>
        <w:t>. Whilst content of discussions may be disclosed to assist with learning and development of MAGIC, content will not be disclosed in an inappropriate or disrespectful manner</w:t>
      </w:r>
      <w:r w:rsidR="005226A5" w:rsidRPr="00F04857">
        <w:rPr>
          <w:rFonts w:ascii="Arial" w:hAnsi="Arial" w:cs="Arial"/>
          <w:sz w:val="20"/>
        </w:rPr>
        <w:t xml:space="preserve"> by anyone involved in MAGIC</w:t>
      </w:r>
      <w:r w:rsidRPr="00F04857">
        <w:rPr>
          <w:rFonts w:ascii="Arial" w:hAnsi="Arial" w:cs="Arial"/>
          <w:sz w:val="20"/>
        </w:rPr>
        <w:t xml:space="preserve">. </w:t>
      </w:r>
    </w:p>
    <w:p w:rsidR="00BB3E55" w:rsidRPr="00F04857" w:rsidRDefault="00BB3E55" w:rsidP="00BB3E55">
      <w:pPr>
        <w:pStyle w:val="ListParagraph"/>
        <w:jc w:val="both"/>
        <w:rPr>
          <w:rFonts w:ascii="Arial" w:hAnsi="Arial" w:cs="Arial"/>
          <w:sz w:val="20"/>
        </w:rPr>
      </w:pPr>
    </w:p>
    <w:p w:rsidR="00B34000" w:rsidRPr="00F04857" w:rsidRDefault="00B34000" w:rsidP="00B340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F04857">
        <w:rPr>
          <w:rFonts w:ascii="Arial" w:hAnsi="Arial" w:cs="Arial"/>
          <w:sz w:val="20"/>
        </w:rPr>
        <w:t>Units involved in MAGIC will be encouraged to disseminate their individual journey with MAGIC</w:t>
      </w:r>
      <w:r w:rsidR="00A76A16" w:rsidRPr="00F04857">
        <w:rPr>
          <w:rFonts w:ascii="Arial" w:hAnsi="Arial" w:cs="Arial"/>
          <w:sz w:val="20"/>
        </w:rPr>
        <w:t>,</w:t>
      </w:r>
      <w:r w:rsidRPr="00F04857">
        <w:rPr>
          <w:rFonts w:ascii="Arial" w:hAnsi="Arial" w:cs="Arial"/>
          <w:sz w:val="20"/>
        </w:rPr>
        <w:t xml:space="preserve"> and</w:t>
      </w:r>
      <w:r w:rsidR="00A76A16" w:rsidRPr="00F04857">
        <w:rPr>
          <w:rFonts w:ascii="Arial" w:hAnsi="Arial" w:cs="Arial"/>
          <w:sz w:val="20"/>
        </w:rPr>
        <w:t xml:space="preserve"> </w:t>
      </w:r>
      <w:r w:rsidR="00EE3B02" w:rsidRPr="00F04857">
        <w:rPr>
          <w:rFonts w:ascii="Arial" w:hAnsi="Arial" w:cs="Arial"/>
          <w:sz w:val="20"/>
        </w:rPr>
        <w:t>the regions</w:t>
      </w:r>
      <w:r w:rsidRPr="00F04857">
        <w:rPr>
          <w:rFonts w:ascii="Arial" w:hAnsi="Arial" w:cs="Arial"/>
          <w:sz w:val="20"/>
        </w:rPr>
        <w:t xml:space="preserve"> </w:t>
      </w:r>
      <w:r w:rsidR="006F4CD6" w:rsidRPr="00F04857">
        <w:rPr>
          <w:rFonts w:ascii="Arial" w:hAnsi="Arial" w:cs="Arial"/>
          <w:sz w:val="20"/>
        </w:rPr>
        <w:t>encouraged to</w:t>
      </w:r>
      <w:r w:rsidR="00A76A16" w:rsidRPr="00F04857">
        <w:rPr>
          <w:rFonts w:ascii="Arial" w:hAnsi="Arial" w:cs="Arial"/>
          <w:sz w:val="20"/>
        </w:rPr>
        <w:t xml:space="preserve"> disseminate </w:t>
      </w:r>
      <w:r w:rsidRPr="00F04857">
        <w:rPr>
          <w:rFonts w:ascii="Arial" w:hAnsi="Arial" w:cs="Arial"/>
          <w:sz w:val="20"/>
        </w:rPr>
        <w:t xml:space="preserve">their regional journey. MAGIC will also disseminate the national journey, providing credit to individual unit </w:t>
      </w:r>
      <w:r w:rsidR="005226A5" w:rsidRPr="00F04857">
        <w:rPr>
          <w:rFonts w:ascii="Arial" w:hAnsi="Arial" w:cs="Arial"/>
          <w:sz w:val="20"/>
        </w:rPr>
        <w:t xml:space="preserve">and region </w:t>
      </w:r>
      <w:r w:rsidRPr="00F04857">
        <w:rPr>
          <w:rFonts w:ascii="Arial" w:hAnsi="Arial" w:cs="Arial"/>
          <w:sz w:val="20"/>
        </w:rPr>
        <w:t xml:space="preserve">involvement.   </w:t>
      </w:r>
    </w:p>
    <w:sectPr w:rsidR="00B34000" w:rsidRPr="00F04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BA" w:rsidRDefault="002238BA" w:rsidP="00AA24F5">
      <w:pPr>
        <w:spacing w:after="0" w:line="240" w:lineRule="auto"/>
      </w:pPr>
      <w:r>
        <w:separator/>
      </w:r>
    </w:p>
  </w:endnote>
  <w:endnote w:type="continuationSeparator" w:id="0">
    <w:p w:rsidR="002238BA" w:rsidRDefault="002238BA" w:rsidP="00AA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00" w:rsidRDefault="00B34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00" w:rsidRDefault="00B34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00" w:rsidRDefault="00B34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BA" w:rsidRDefault="002238BA" w:rsidP="00AA24F5">
      <w:pPr>
        <w:spacing w:after="0" w:line="240" w:lineRule="auto"/>
      </w:pPr>
      <w:r>
        <w:separator/>
      </w:r>
    </w:p>
  </w:footnote>
  <w:footnote w:type="continuationSeparator" w:id="0">
    <w:p w:rsidR="002238BA" w:rsidRDefault="002238BA" w:rsidP="00AA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00" w:rsidRDefault="00B34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F5" w:rsidRDefault="002238BA">
    <w:pPr>
      <w:pStyle w:val="Header"/>
      <w:rPr>
        <w:noProof/>
        <w:lang w:eastAsia="en-GB"/>
      </w:rPr>
    </w:pPr>
    <w:sdt>
      <w:sdtPr>
        <w:id w:val="-29137661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45C3C">
      <w:ptab w:relativeTo="margin" w:alignment="center" w:leader="none"/>
    </w:r>
    <w:r w:rsidR="00745C3C">
      <w:rPr>
        <w:noProof/>
        <w:lang w:eastAsia="en-GB"/>
      </w:rPr>
      <w:t xml:space="preserve">    </w:t>
    </w:r>
    <w:r w:rsidR="00745C3C">
      <w:rPr>
        <w:noProof/>
        <w:lang w:eastAsia="en-GB"/>
      </w:rPr>
      <w:drawing>
        <wp:inline distT="0" distB="0" distL="0" distR="0" wp14:anchorId="1DA70437" wp14:editId="231F8271">
          <wp:extent cx="609600" cy="609600"/>
          <wp:effectExtent l="0" t="0" r="0" b="0"/>
          <wp:docPr id="1027" name="Picture 1" descr="https://gallery.mailchimp.com/ba16832efb8ed279407c624e8/images/60dd96da-ef6b-4cbd-a000-b940b911f5f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" descr="https://gallery.mailchimp.com/ba16832efb8ed279407c624e8/images/60dd96da-ef6b-4cbd-a000-b940b911f5f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45" cy="608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745C3C">
      <w:rPr>
        <w:noProof/>
        <w:lang w:eastAsia="en-GB"/>
      </w:rPr>
      <w:t xml:space="preserve">       </w:t>
    </w:r>
    <w:r w:rsidR="00745C3C">
      <w:rPr>
        <w:noProof/>
        <w:lang w:eastAsia="en-GB"/>
      </w:rPr>
      <w:drawing>
        <wp:inline distT="0" distB="0" distL="0" distR="0" wp14:anchorId="5464BA0D" wp14:editId="09BC5A45">
          <wp:extent cx="1219200" cy="257290"/>
          <wp:effectExtent l="0" t="0" r="0" b="9525"/>
          <wp:docPr id="1028" name="Picture 4" descr="D:\Katie\Work\BRS VA SIG\BRS VA SI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D:\Katie\Work\BRS VA SIG\BRS VA SIG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188" cy="25834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745C3C">
      <w:rPr>
        <w:noProof/>
        <w:lang w:eastAsia="en-GB"/>
      </w:rPr>
      <w:t xml:space="preserve">    </w:t>
    </w:r>
    <w:r w:rsidR="00745C3C">
      <w:rPr>
        <w:noProof/>
        <w:lang w:eastAsia="en-GB"/>
      </w:rPr>
      <w:drawing>
        <wp:inline distT="0" distB="0" distL="0" distR="0" wp14:anchorId="0B9577D2" wp14:editId="00227A8D">
          <wp:extent cx="1447800" cy="639726"/>
          <wp:effectExtent l="0" t="0" r="0" b="8255"/>
          <wp:docPr id="1" name="Picture 1" descr="D:\Katie\Work\BRS VA SIG\MAGIC\MAG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tie\Work\BRS VA SIG\MAGIC\MAGIC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607" cy="643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C3C">
      <w:rPr>
        <w:noProof/>
        <w:lang w:eastAsia="en-GB"/>
      </w:rPr>
      <w:t xml:space="preserve">        </w:t>
    </w:r>
    <w:r w:rsidR="00745C3C">
      <w:rPr>
        <w:noProof/>
        <w:lang w:eastAsia="en-GB"/>
      </w:rPr>
      <w:drawing>
        <wp:inline distT="0" distB="0" distL="0" distR="0" wp14:anchorId="45C41CBC" wp14:editId="0F8F23E7">
          <wp:extent cx="620142" cy="561123"/>
          <wp:effectExtent l="38100" t="0" r="85090" b="29845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46" cy="56311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srgbClr val="808080">
                        <a:alpha val="39999"/>
                      </a:srgbClr>
                    </a:outerShdw>
                  </a:effectLst>
                  <a:extLst/>
                </pic:spPr>
              </pic:pic>
            </a:graphicData>
          </a:graphic>
        </wp:inline>
      </w:drawing>
    </w:r>
    <w:r w:rsidR="00745C3C">
      <w:rPr>
        <w:noProof/>
        <w:lang w:eastAsia="en-GB"/>
      </w:rPr>
      <w:t xml:space="preserve">       </w:t>
    </w:r>
    <w:r w:rsidR="00745C3C">
      <w:rPr>
        <w:noProof/>
        <w:lang w:eastAsia="en-GB"/>
      </w:rPr>
      <w:drawing>
        <wp:inline distT="0" distB="0" distL="0" distR="0" wp14:anchorId="01612159" wp14:editId="0649114D">
          <wp:extent cx="742950" cy="458360"/>
          <wp:effectExtent l="0" t="0" r="0" b="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77" cy="46189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745C3C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00" w:rsidRDefault="00B340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F54"/>
    <w:multiLevelType w:val="hybridMultilevel"/>
    <w:tmpl w:val="ECDAF4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63AEB"/>
    <w:multiLevelType w:val="hybridMultilevel"/>
    <w:tmpl w:val="C75A52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977B8"/>
    <w:multiLevelType w:val="hybridMultilevel"/>
    <w:tmpl w:val="31D89E4C"/>
    <w:lvl w:ilvl="0" w:tplc="3A02C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A2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28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BE5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A8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23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8F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2B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288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0194348"/>
    <w:multiLevelType w:val="hybridMultilevel"/>
    <w:tmpl w:val="0276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E3CE7"/>
    <w:multiLevelType w:val="hybridMultilevel"/>
    <w:tmpl w:val="C75A52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26506"/>
    <w:multiLevelType w:val="hybridMultilevel"/>
    <w:tmpl w:val="ECDAF4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26"/>
    <w:rsid w:val="000165B5"/>
    <w:rsid w:val="00096369"/>
    <w:rsid w:val="00114008"/>
    <w:rsid w:val="001B2771"/>
    <w:rsid w:val="002238BA"/>
    <w:rsid w:val="00282224"/>
    <w:rsid w:val="003A30B4"/>
    <w:rsid w:val="00481928"/>
    <w:rsid w:val="004B7998"/>
    <w:rsid w:val="005017B0"/>
    <w:rsid w:val="005226A5"/>
    <w:rsid w:val="00557693"/>
    <w:rsid w:val="005B00D6"/>
    <w:rsid w:val="00631A2A"/>
    <w:rsid w:val="006F4CD6"/>
    <w:rsid w:val="00745C3C"/>
    <w:rsid w:val="007714E8"/>
    <w:rsid w:val="007733E4"/>
    <w:rsid w:val="00782F94"/>
    <w:rsid w:val="00797566"/>
    <w:rsid w:val="007A3779"/>
    <w:rsid w:val="007D16CB"/>
    <w:rsid w:val="0081419B"/>
    <w:rsid w:val="0085320B"/>
    <w:rsid w:val="008A3E66"/>
    <w:rsid w:val="008E7810"/>
    <w:rsid w:val="00964041"/>
    <w:rsid w:val="009D2E36"/>
    <w:rsid w:val="009F1D26"/>
    <w:rsid w:val="00A6500A"/>
    <w:rsid w:val="00A76A16"/>
    <w:rsid w:val="00AA24F5"/>
    <w:rsid w:val="00AF5E76"/>
    <w:rsid w:val="00B34000"/>
    <w:rsid w:val="00BA2BFC"/>
    <w:rsid w:val="00BB3E55"/>
    <w:rsid w:val="00BC2094"/>
    <w:rsid w:val="00BF1767"/>
    <w:rsid w:val="00BF3D8B"/>
    <w:rsid w:val="00C05015"/>
    <w:rsid w:val="00D128AF"/>
    <w:rsid w:val="00D1519C"/>
    <w:rsid w:val="00D94FEE"/>
    <w:rsid w:val="00E5103E"/>
    <w:rsid w:val="00EB4835"/>
    <w:rsid w:val="00ED0F24"/>
    <w:rsid w:val="00EE3B02"/>
    <w:rsid w:val="00F04857"/>
    <w:rsid w:val="00F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F1D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5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0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4F5"/>
  </w:style>
  <w:style w:type="paragraph" w:styleId="Footer">
    <w:name w:val="footer"/>
    <w:basedOn w:val="Normal"/>
    <w:link w:val="FooterChar"/>
    <w:uiPriority w:val="99"/>
    <w:unhideWhenUsed/>
    <w:rsid w:val="00AA2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F1D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5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0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4F5"/>
  </w:style>
  <w:style w:type="paragraph" w:styleId="Footer">
    <w:name w:val="footer"/>
    <w:basedOn w:val="Normal"/>
    <w:link w:val="FooterChar"/>
    <w:uiPriority w:val="99"/>
    <w:unhideWhenUsed/>
    <w:rsid w:val="00AA2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10C1-E87B-4951-8244-452BC40E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DHFT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2018-01-15T15:41:00Z</dcterms:created>
  <dcterms:modified xsi:type="dcterms:W3CDTF">2018-01-15T15:41:00Z</dcterms:modified>
</cp:coreProperties>
</file>