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39" w:rsidRPr="00BC218F" w:rsidRDefault="008D5139" w:rsidP="00C36A57">
      <w:bookmarkStart w:id="0" w:name="_GoBack"/>
      <w:bookmarkEnd w:id="0"/>
    </w:p>
    <w:p w:rsidR="008D5139" w:rsidRPr="00E86DE8" w:rsidRDefault="008D5139" w:rsidP="00E86DE8">
      <w:pPr>
        <w:jc w:val="center"/>
        <w:rPr>
          <w:b/>
          <w:u w:val="single"/>
        </w:rPr>
      </w:pPr>
      <w:r w:rsidRPr="00E86DE8">
        <w:rPr>
          <w:b/>
          <w:u w:val="single"/>
        </w:rPr>
        <w:t>MAGIC Measurement Strategy</w:t>
      </w:r>
    </w:p>
    <w:p w:rsidR="008D5139" w:rsidRPr="00DD6D4F" w:rsidRDefault="008D5139" w:rsidP="00C36A57"/>
    <w:p w:rsidR="008D5139" w:rsidRPr="00E86DE8" w:rsidRDefault="008D5139" w:rsidP="00C36A57">
      <w:pPr>
        <w:rPr>
          <w:b/>
          <w:u w:val="single"/>
        </w:rPr>
      </w:pPr>
      <w:r w:rsidRPr="00E86DE8">
        <w:rPr>
          <w:b/>
          <w:u w:val="single"/>
        </w:rPr>
        <w:t>Kirkpatrick’s Model</w:t>
      </w:r>
    </w:p>
    <w:p w:rsidR="008D5139" w:rsidRPr="00DD6D4F" w:rsidRDefault="008D5139" w:rsidP="00C36A57"/>
    <w:p w:rsidR="008D5139" w:rsidRPr="00DD6D4F" w:rsidRDefault="00A2307C" w:rsidP="00C36A57">
      <w:r>
        <w:t>MAGIC’s measurement strategy is based on Kirkpatrick’s</w:t>
      </w:r>
      <w:r>
        <w:rPr>
          <w:vertAlign w:val="superscript"/>
        </w:rPr>
        <w:t>1</w:t>
      </w:r>
      <w:r>
        <w:t xml:space="preserve"> model of educational evaluation</w:t>
      </w:r>
      <w:r w:rsidR="008D5139" w:rsidRPr="00DD6D4F">
        <w:t>.  This provide</w:t>
      </w:r>
      <w:r>
        <w:t>s a four-tier approach, gaining feedback from candidates about their own learning, as well identifying changes effected at unit level</w:t>
      </w:r>
      <w:r w:rsidR="008D5139" w:rsidRPr="00DD6D4F">
        <w:t>:</w:t>
      </w:r>
    </w:p>
    <w:p w:rsidR="008D5139" w:rsidRPr="00DD6D4F" w:rsidRDefault="008D5139" w:rsidP="00C36A57"/>
    <w:p w:rsidR="008D5139" w:rsidRPr="00DD6D4F" w:rsidRDefault="008D5139" w:rsidP="00C36A57">
      <w:pPr>
        <w:pStyle w:val="ListParagraph"/>
        <w:numPr>
          <w:ilvl w:val="0"/>
          <w:numId w:val="8"/>
        </w:numPr>
      </w:pPr>
      <w:r w:rsidRPr="00C36A57">
        <w:rPr>
          <w:shd w:val="clear" w:color="auto" w:fill="FFFFFF"/>
        </w:rPr>
        <w:t>Level 1: "did you enjoy participating in this educational programme"</w:t>
      </w:r>
      <w:r w:rsidRPr="00DD6D4F">
        <w:br/>
      </w:r>
      <w:r w:rsidRPr="00DD6D4F">
        <w:br/>
      </w:r>
      <w:r w:rsidRPr="00C36A57">
        <w:rPr>
          <w:shd w:val="clear" w:color="auto" w:fill="FFFFFF"/>
        </w:rPr>
        <w:t>Simple evaluation about usability, interest in topic, enjoyment of session, suggestions for improvement - essentially what we usually term 'feedback' from the session</w:t>
      </w:r>
    </w:p>
    <w:p w:rsidR="008D5139" w:rsidRPr="00DD6D4F" w:rsidRDefault="008D5139" w:rsidP="00C36A57"/>
    <w:p w:rsidR="008D5139" w:rsidRPr="00DD6D4F" w:rsidRDefault="008D5139" w:rsidP="00C36A57">
      <w:pPr>
        <w:pStyle w:val="ListParagraph"/>
        <w:numPr>
          <w:ilvl w:val="0"/>
          <w:numId w:val="8"/>
        </w:numPr>
      </w:pPr>
      <w:r w:rsidRPr="00C36A57">
        <w:rPr>
          <w:shd w:val="clear" w:color="auto" w:fill="FFFFFF"/>
        </w:rPr>
        <w:t>Level 2: "did you learn anything from this educational programme?"</w:t>
      </w:r>
      <w:r w:rsidRPr="00DD6D4F">
        <w:br/>
      </w:r>
    </w:p>
    <w:p w:rsidR="008D5139" w:rsidRPr="00DD6D4F" w:rsidRDefault="008D5139" w:rsidP="00C36A57">
      <w:pPr>
        <w:pStyle w:val="ListParagraph"/>
        <w:numPr>
          <w:ilvl w:val="0"/>
          <w:numId w:val="8"/>
        </w:numPr>
      </w:pPr>
      <w:r w:rsidRPr="00C36A57">
        <w:rPr>
          <w:shd w:val="clear" w:color="auto" w:fill="FFFFFF"/>
        </w:rPr>
        <w:t>Level 3: "did you change practice following attendance at this educational programme?"</w:t>
      </w:r>
    </w:p>
    <w:p w:rsidR="008D5139" w:rsidRPr="00DD6D4F" w:rsidRDefault="008D5139" w:rsidP="00C36A57">
      <w:pPr>
        <w:pStyle w:val="ListParagraph"/>
        <w:rPr>
          <w:shd w:val="clear" w:color="auto" w:fill="FFFFFF"/>
        </w:rPr>
      </w:pPr>
    </w:p>
    <w:p w:rsidR="008D5139" w:rsidRPr="00C36A57" w:rsidRDefault="008D5139" w:rsidP="00C36A57">
      <w:pPr>
        <w:pStyle w:val="ListParagraph"/>
        <w:numPr>
          <w:ilvl w:val="0"/>
          <w:numId w:val="8"/>
        </w:numPr>
        <w:rPr>
          <w:color w:val="auto"/>
          <w:u w:val="single"/>
        </w:rPr>
      </w:pPr>
      <w:r w:rsidRPr="00C36A57">
        <w:rPr>
          <w:shd w:val="clear" w:color="auto" w:fill="FFFFFF"/>
        </w:rPr>
        <w:t>Level 4: "did clinical outcomes change following this educational programme"?</w:t>
      </w:r>
    </w:p>
    <w:p w:rsidR="00A2307C" w:rsidRDefault="00A2307C" w:rsidP="00C36A57">
      <w:pPr>
        <w:pStyle w:val="ListParagraph"/>
      </w:pPr>
    </w:p>
    <w:p w:rsidR="00A2307C" w:rsidRDefault="00A2307C" w:rsidP="00C36A57">
      <w:r>
        <w:rPr>
          <w:u w:val="single"/>
        </w:rPr>
        <w:t>Levels 1, 2 and 3</w:t>
      </w:r>
      <w:r>
        <w:t xml:space="preserve"> measures will be used to gain feedback on the educational materials, awareness materials and</w:t>
      </w:r>
      <w:r w:rsidR="004F1A49">
        <w:t xml:space="preserve"> the</w:t>
      </w:r>
      <w:r>
        <w:t xml:space="preserve"> vascular access appraisal scorecard. This feedback will help identify what changed due to these interventions and also what didn’t have an effect. </w:t>
      </w:r>
    </w:p>
    <w:p w:rsidR="00A2307C" w:rsidRDefault="00A2307C" w:rsidP="00C36A57"/>
    <w:p w:rsidR="00A2307C" w:rsidRDefault="00A2307C" w:rsidP="00C36A57">
      <w:r>
        <w:t xml:space="preserve">More information will be available on these measures once the materials are finalised. </w:t>
      </w:r>
    </w:p>
    <w:p w:rsidR="00A2307C" w:rsidRDefault="00A2307C" w:rsidP="00C36A57"/>
    <w:p w:rsidR="004F1A49" w:rsidRDefault="00A2307C" w:rsidP="00C36A57">
      <w:r>
        <w:rPr>
          <w:u w:val="single"/>
        </w:rPr>
        <w:t xml:space="preserve">Level 4 </w:t>
      </w:r>
      <w:r>
        <w:t xml:space="preserve">measures identify the change on clinical outcomes. </w:t>
      </w:r>
      <w:r w:rsidR="004F1A49">
        <w:t>These link</w:t>
      </w:r>
      <w:r w:rsidR="00E21948">
        <w:t xml:space="preserve"> to the objectives for MAGIC and include patient experience measures as well as hard clinical outcomes. </w:t>
      </w:r>
      <w:r w:rsidR="004F1A49">
        <w:t xml:space="preserve"> </w:t>
      </w:r>
    </w:p>
    <w:p w:rsidR="004F1A49" w:rsidRDefault="004F1A49" w:rsidP="00C36A57"/>
    <w:p w:rsidR="00E86DE8" w:rsidRDefault="004F1A49" w:rsidP="00C36A57">
      <w:r>
        <w:t>D</w:t>
      </w:r>
      <w:r w:rsidR="00A2307C">
        <w:t xml:space="preserve">ata on the identified clinical outcomes </w:t>
      </w:r>
      <w:r w:rsidR="00E21948">
        <w:t xml:space="preserve">and patient experience </w:t>
      </w:r>
      <w:r w:rsidR="00A2307C">
        <w:t xml:space="preserve">measures will be collected </w:t>
      </w:r>
      <w:r>
        <w:t xml:space="preserve">by the </w:t>
      </w:r>
      <w:r w:rsidR="00E86DE8">
        <w:t>needling champion</w:t>
      </w:r>
      <w:r>
        <w:t xml:space="preserve"> and vascular access appraisal lead </w:t>
      </w:r>
      <w:r w:rsidR="00E21948">
        <w:t xml:space="preserve">weekly / </w:t>
      </w:r>
      <w:r w:rsidR="00A2307C">
        <w:t xml:space="preserve">monthly </w:t>
      </w:r>
      <w:r w:rsidR="00030DAB">
        <w:t xml:space="preserve">on a selected date, </w:t>
      </w:r>
      <w:r w:rsidR="00E86DE8">
        <w:t xml:space="preserve">either </w:t>
      </w:r>
      <w:r w:rsidR="00A2307C">
        <w:t>from</w:t>
      </w:r>
      <w:r w:rsidR="00E86DE8">
        <w:t>:</w:t>
      </w:r>
    </w:p>
    <w:p w:rsidR="00E86DE8" w:rsidRDefault="00E86DE8" w:rsidP="00E86DE8">
      <w:pPr>
        <w:pStyle w:val="ListParagraph"/>
        <w:numPr>
          <w:ilvl w:val="0"/>
          <w:numId w:val="15"/>
        </w:numPr>
      </w:pPr>
      <w:r>
        <w:t>A</w:t>
      </w:r>
      <w:r w:rsidR="00A2307C">
        <w:t xml:space="preserve"> sample of haemodialysis</w:t>
      </w:r>
      <w:r w:rsidR="00030DAB">
        <w:t xml:space="preserve"> patients</w:t>
      </w:r>
      <w:r w:rsidR="00A2307C">
        <w:t xml:space="preserve"> agreed at regional level</w:t>
      </w:r>
      <w:r>
        <w:t xml:space="preserve"> OR </w:t>
      </w:r>
    </w:p>
    <w:p w:rsidR="00E86DE8" w:rsidRDefault="00E86DE8" w:rsidP="00E86DE8">
      <w:pPr>
        <w:pStyle w:val="ListParagraph"/>
        <w:numPr>
          <w:ilvl w:val="0"/>
          <w:numId w:val="15"/>
        </w:numPr>
      </w:pPr>
      <w:r>
        <w:t>The total haemodialysis population on that day inclusive of patients not actually dialysing that day</w:t>
      </w:r>
      <w:r w:rsidR="00A2307C">
        <w:t xml:space="preserve">. </w:t>
      </w:r>
    </w:p>
    <w:p w:rsidR="00E86DE8" w:rsidRDefault="00E86DE8" w:rsidP="00E86DE8"/>
    <w:p w:rsidR="004F1A49" w:rsidRDefault="00A2307C" w:rsidP="00E86DE8">
      <w:r>
        <w:t xml:space="preserve">Units will have access to </w:t>
      </w:r>
      <w:r w:rsidR="004F1A49">
        <w:t xml:space="preserve">a </w:t>
      </w:r>
      <w:r>
        <w:t>measurement platform, allowing the data to be converted into run charts</w:t>
      </w:r>
      <w:r w:rsidR="004F1A49">
        <w:t xml:space="preserve"> that can be viewed at unit level</w:t>
      </w:r>
      <w:r>
        <w:t>.</w:t>
      </w:r>
      <w:r w:rsidR="004F1A49">
        <w:t xml:space="preserve"> </w:t>
      </w:r>
    </w:p>
    <w:p w:rsidR="004F1A49" w:rsidRDefault="004F1A49" w:rsidP="00C36A57"/>
    <w:p w:rsidR="004F1A49" w:rsidRDefault="004F1A49" w:rsidP="00C36A57">
      <w:r>
        <w:t xml:space="preserve">More information on the Level 4 measures is on the next page. </w:t>
      </w:r>
    </w:p>
    <w:p w:rsidR="004F1A49" w:rsidRDefault="004F1A49" w:rsidP="00C36A57"/>
    <w:p w:rsidR="00E86DE8" w:rsidRPr="00E86DE8" w:rsidRDefault="00A2307C" w:rsidP="00E86DE8">
      <w:pPr>
        <w:rPr>
          <w:sz w:val="20"/>
          <w:szCs w:val="20"/>
        </w:rPr>
      </w:pPr>
      <w:r w:rsidRPr="00E86DE8">
        <w:rPr>
          <w:sz w:val="20"/>
          <w:szCs w:val="20"/>
          <w:vertAlign w:val="superscript"/>
        </w:rPr>
        <w:footnoteRef/>
      </w:r>
      <w:r w:rsidR="00E86DE8" w:rsidRPr="00E86DE8">
        <w:rPr>
          <w:sz w:val="20"/>
          <w:szCs w:val="20"/>
        </w:rPr>
        <w:t xml:space="preserve"> Yardley S, Dornan T. Kirkpatrick’s levels and education “evidence”; </w:t>
      </w:r>
      <w:r w:rsidR="00E86DE8" w:rsidRPr="00E86DE8">
        <w:rPr>
          <w:i/>
          <w:sz w:val="20"/>
          <w:szCs w:val="20"/>
        </w:rPr>
        <w:t xml:space="preserve">Med </w:t>
      </w:r>
      <w:proofErr w:type="spellStart"/>
      <w:r w:rsidR="00E86DE8" w:rsidRPr="00E86DE8">
        <w:rPr>
          <w:i/>
          <w:sz w:val="20"/>
          <w:szCs w:val="20"/>
        </w:rPr>
        <w:t>Educ</w:t>
      </w:r>
      <w:proofErr w:type="spellEnd"/>
      <w:r w:rsidR="00E86DE8" w:rsidRPr="00E86DE8">
        <w:rPr>
          <w:sz w:val="20"/>
          <w:szCs w:val="20"/>
        </w:rPr>
        <w:t xml:space="preserve"> 2012; 46 (1): 97 </w:t>
      </w:r>
      <w:hyperlink r:id="rId8" w:tgtFrame="_blank" w:history="1">
        <w:r w:rsidRPr="00E86DE8">
          <w:rPr>
            <w:rFonts w:ascii="Segoe UI" w:hAnsi="Segoe UI" w:cs="Segoe UI"/>
            <w:color w:val="0000FF"/>
            <w:sz w:val="20"/>
            <w:szCs w:val="20"/>
            <w:u w:val="single"/>
          </w:rPr>
          <w:t>http://onlinelibrary.wiley.com/doi/10.1111/j.1365-2923.2011.04076.x/full</w:t>
        </w:r>
      </w:hyperlink>
    </w:p>
    <w:p w:rsidR="00E86DE8" w:rsidRDefault="00E86DE8" w:rsidP="00C36A57">
      <w:pPr>
        <w:rPr>
          <w:b/>
          <w:u w:val="single"/>
          <w:shd w:val="clear" w:color="auto" w:fill="FFFFFF"/>
        </w:rPr>
      </w:pPr>
    </w:p>
    <w:p w:rsidR="00E86DE8" w:rsidRDefault="00E86DE8" w:rsidP="00C36A57">
      <w:pPr>
        <w:rPr>
          <w:b/>
          <w:u w:val="single"/>
          <w:shd w:val="clear" w:color="auto" w:fill="FFFFFF"/>
        </w:rPr>
      </w:pPr>
    </w:p>
    <w:p w:rsidR="008D5139" w:rsidRPr="00C36A57" w:rsidRDefault="008D5139" w:rsidP="00C36A57">
      <w:pPr>
        <w:rPr>
          <w:b/>
          <w:u w:val="single"/>
        </w:rPr>
      </w:pPr>
      <w:r w:rsidRPr="00C36A57">
        <w:rPr>
          <w:b/>
          <w:u w:val="single"/>
          <w:shd w:val="clear" w:color="auto" w:fill="FFFFFF"/>
        </w:rPr>
        <w:t>Level 4</w:t>
      </w:r>
      <w:r w:rsidR="004F1A49" w:rsidRPr="00C36A57">
        <w:rPr>
          <w:b/>
          <w:u w:val="single"/>
          <w:shd w:val="clear" w:color="auto" w:fill="FFFFFF"/>
        </w:rPr>
        <w:t xml:space="preserve"> Measures</w:t>
      </w:r>
      <w:r w:rsidRPr="00C36A57">
        <w:rPr>
          <w:b/>
          <w:u w:val="single"/>
          <w:shd w:val="clear" w:color="auto" w:fill="FFFFFF"/>
        </w:rPr>
        <w:t>: How did clinical outcomes change?</w:t>
      </w:r>
    </w:p>
    <w:p w:rsidR="00C94C45" w:rsidRDefault="00C94C45" w:rsidP="00C36A57">
      <w:pPr>
        <w:rPr>
          <w:b/>
        </w:rPr>
      </w:pPr>
    </w:p>
    <w:p w:rsidR="00E21948" w:rsidRDefault="00E21948" w:rsidP="00C36A57">
      <w:pPr>
        <w:rPr>
          <w:b/>
          <w:u w:val="single"/>
        </w:rPr>
      </w:pPr>
      <w:r w:rsidRPr="00E21948">
        <w:rPr>
          <w:b/>
          <w:u w:val="single"/>
        </w:rPr>
        <w:t>Mandatory Measures</w:t>
      </w:r>
      <w:r>
        <w:rPr>
          <w:b/>
          <w:u w:val="single"/>
        </w:rPr>
        <w:t xml:space="preserve"> – Patient Level</w:t>
      </w:r>
    </w:p>
    <w:p w:rsidR="00EA068F" w:rsidRDefault="00EA068F" w:rsidP="00C36A57">
      <w:pPr>
        <w:rPr>
          <w:b/>
          <w:u w:val="single"/>
        </w:rPr>
      </w:pPr>
    </w:p>
    <w:p w:rsidR="00EA068F" w:rsidRPr="00EA068F" w:rsidRDefault="008D51E3" w:rsidP="00C36A57">
      <w:r>
        <w:t>Data</w:t>
      </w:r>
      <w:r w:rsidR="00EA068F">
        <w:t xml:space="preserve"> from a sample of patients agreed at regional level</w:t>
      </w:r>
    </w:p>
    <w:p w:rsidR="00E21948" w:rsidRDefault="00E21948" w:rsidP="00C36A57">
      <w:pPr>
        <w:rPr>
          <w:b/>
        </w:rPr>
      </w:pPr>
    </w:p>
    <w:p w:rsidR="004F1A49" w:rsidRDefault="004F1A49" w:rsidP="00C36A57">
      <w:r w:rsidRPr="004F1A49">
        <w:rPr>
          <w:b/>
        </w:rPr>
        <w:t>Needling Technique</w:t>
      </w:r>
      <w:r>
        <w:rPr>
          <w:b/>
        </w:rPr>
        <w:t xml:space="preserve"> </w:t>
      </w:r>
      <w:r>
        <w:t>(as per BRS VA/VASBI Definitions)</w:t>
      </w:r>
    </w:p>
    <w:p w:rsidR="004F1A49" w:rsidRDefault="004F1A49" w:rsidP="00C36A57">
      <w:r>
        <w:t>Needling technique use</w:t>
      </w:r>
      <w:r w:rsidR="00163418">
        <w:t>d for that haemodialysis session</w:t>
      </w:r>
      <w:r>
        <w:t>.</w:t>
      </w:r>
    </w:p>
    <w:p w:rsidR="004F1A49" w:rsidRPr="004F1A49" w:rsidRDefault="004F1A49" w:rsidP="00C36A57"/>
    <w:p w:rsidR="004F1A49" w:rsidRPr="00C94C45" w:rsidRDefault="004F1A49" w:rsidP="00C36A57">
      <w:pPr>
        <w:pStyle w:val="Quote"/>
        <w:rPr>
          <w:sz w:val="20"/>
        </w:rPr>
      </w:pPr>
      <w:r w:rsidRPr="00C94C45">
        <w:rPr>
          <w:rStyle w:val="IntenseEmphasis"/>
          <w:i w:val="0"/>
          <w:sz w:val="20"/>
        </w:rPr>
        <w:t>Buttonhole:</w:t>
      </w:r>
      <w:r w:rsidRPr="00C94C45">
        <w:rPr>
          <w:rStyle w:val="IntenseEmphasis"/>
          <w:sz w:val="20"/>
        </w:rPr>
        <w:t xml:space="preserve"> </w:t>
      </w:r>
      <w:r w:rsidRPr="00C94C45">
        <w:rPr>
          <w:i w:val="0"/>
          <w:sz w:val="20"/>
        </w:rPr>
        <w:t>Cannulation of each cannulation site in the same manner each time. Involves removing the sca</w:t>
      </w:r>
      <w:r w:rsidR="00EA068F">
        <w:rPr>
          <w:i w:val="0"/>
          <w:sz w:val="20"/>
        </w:rPr>
        <w:t>b</w:t>
      </w:r>
      <w:r w:rsidRPr="00C94C45">
        <w:rPr>
          <w:i w:val="0"/>
          <w:sz w:val="20"/>
        </w:rPr>
        <w:t xml:space="preserve"> of the previous cannulation prior to needling. Includes cannulation with sharp needles or blunt needles. </w:t>
      </w:r>
    </w:p>
    <w:p w:rsidR="004F1A49" w:rsidRPr="00C94C45" w:rsidRDefault="004F1A49" w:rsidP="00C36A57">
      <w:pPr>
        <w:rPr>
          <w:color w:val="5F497A" w:themeColor="accent4" w:themeShade="BF"/>
          <w:sz w:val="20"/>
        </w:rPr>
      </w:pPr>
    </w:p>
    <w:p w:rsidR="004F1A49" w:rsidRPr="00C94C45" w:rsidRDefault="004F1A49" w:rsidP="00C36A57">
      <w:pPr>
        <w:pStyle w:val="Quote"/>
        <w:rPr>
          <w:rStyle w:val="IntenseEmphasis"/>
          <w:sz w:val="20"/>
        </w:rPr>
      </w:pPr>
      <w:r w:rsidRPr="00C94C45">
        <w:rPr>
          <w:rStyle w:val="IntenseEmphasis"/>
          <w:i w:val="0"/>
          <w:sz w:val="20"/>
        </w:rPr>
        <w:t>Rope Ladder:</w:t>
      </w:r>
      <w:r w:rsidRPr="00C94C45">
        <w:rPr>
          <w:rStyle w:val="IntenseEmphasis"/>
          <w:sz w:val="20"/>
        </w:rPr>
        <w:t xml:space="preserve"> </w:t>
      </w:r>
      <w:r w:rsidRPr="00C94C45">
        <w:rPr>
          <w:i w:val="0"/>
          <w:sz w:val="20"/>
        </w:rPr>
        <w:t>Cannulation that move</w:t>
      </w:r>
      <w:r w:rsidR="00C36A57" w:rsidRPr="00C94C45">
        <w:rPr>
          <w:i w:val="0"/>
          <w:sz w:val="20"/>
        </w:rPr>
        <w:t>s</w:t>
      </w:r>
      <w:r w:rsidRPr="00C94C45">
        <w:rPr>
          <w:i w:val="0"/>
          <w:sz w:val="20"/>
        </w:rPr>
        <w:t xml:space="preserve"> up the vein </w:t>
      </w:r>
      <w:r w:rsidR="00C36A57" w:rsidRPr="00C94C45">
        <w:rPr>
          <w:i w:val="0"/>
          <w:sz w:val="20"/>
        </w:rPr>
        <w:t xml:space="preserve">at each treatment </w:t>
      </w:r>
      <w:r w:rsidRPr="00C94C45">
        <w:rPr>
          <w:i w:val="0"/>
          <w:sz w:val="20"/>
        </w:rPr>
        <w:t xml:space="preserve">in a progressive manner, to cover as </w:t>
      </w:r>
      <w:r w:rsidR="00C36A57" w:rsidRPr="00C94C45">
        <w:rPr>
          <w:i w:val="0"/>
          <w:sz w:val="20"/>
        </w:rPr>
        <w:t>much</w:t>
      </w:r>
      <w:r w:rsidRPr="00C94C45">
        <w:rPr>
          <w:i w:val="0"/>
          <w:sz w:val="20"/>
        </w:rPr>
        <w:t xml:space="preserve"> of the vein as is possible. </w:t>
      </w:r>
      <w:r w:rsidR="00C36A57" w:rsidRPr="00C94C45">
        <w:rPr>
          <w:i w:val="0"/>
          <w:sz w:val="20"/>
        </w:rPr>
        <w:t xml:space="preserve">Once the top of the vein is reached, cannulation starts at the bottom again. </w:t>
      </w:r>
      <w:r w:rsidR="00EA068F">
        <w:rPr>
          <w:i w:val="0"/>
          <w:sz w:val="20"/>
        </w:rPr>
        <w:t xml:space="preserve">One cannulation site’s (A or V site) needle marks should cover at least 5cm. </w:t>
      </w:r>
      <w:r w:rsidR="00C36A57" w:rsidRPr="00C94C45">
        <w:rPr>
          <w:rStyle w:val="IntenseEmphasis"/>
          <w:sz w:val="20"/>
        </w:rPr>
        <w:t xml:space="preserve">  </w:t>
      </w:r>
    </w:p>
    <w:p w:rsidR="00C36A57" w:rsidRPr="00C94C45" w:rsidRDefault="00C36A57" w:rsidP="00C36A57">
      <w:pPr>
        <w:rPr>
          <w:sz w:val="20"/>
        </w:rPr>
      </w:pPr>
    </w:p>
    <w:p w:rsidR="00C36A57" w:rsidRDefault="00C36A57" w:rsidP="00C36A57">
      <w:pPr>
        <w:rPr>
          <w:i/>
          <w:sz w:val="20"/>
        </w:rPr>
      </w:pPr>
      <w:r w:rsidRPr="00C94C45">
        <w:rPr>
          <w:rStyle w:val="IntenseEmphasis"/>
          <w:sz w:val="20"/>
        </w:rPr>
        <w:t xml:space="preserve">Area Puncture: </w:t>
      </w:r>
      <w:r w:rsidRPr="00C94C45">
        <w:rPr>
          <w:sz w:val="20"/>
        </w:rPr>
        <w:t xml:space="preserve">Cannulation in a different site each </w:t>
      </w:r>
      <w:r w:rsidR="00EA068F" w:rsidRPr="00C94C45">
        <w:rPr>
          <w:sz w:val="20"/>
        </w:rPr>
        <w:t>time that</w:t>
      </w:r>
      <w:r w:rsidRPr="00C94C45">
        <w:rPr>
          <w:sz w:val="20"/>
        </w:rPr>
        <w:t xml:space="preserve"> does not progress up the vein is systematic manner AND/OR </w:t>
      </w:r>
      <w:r w:rsidR="00EA068F">
        <w:rPr>
          <w:sz w:val="20"/>
        </w:rPr>
        <w:t>one cannulation site’s needle marks cover less than 5cm</w:t>
      </w:r>
      <w:r w:rsidRPr="00C94C45">
        <w:rPr>
          <w:sz w:val="20"/>
        </w:rPr>
        <w:t>.</w:t>
      </w:r>
      <w:r w:rsidRPr="00C94C45">
        <w:rPr>
          <w:i/>
          <w:sz w:val="20"/>
        </w:rPr>
        <w:t xml:space="preserve">  </w:t>
      </w:r>
    </w:p>
    <w:p w:rsidR="00EA068F" w:rsidRDefault="00EA068F" w:rsidP="00C36A57">
      <w:pPr>
        <w:rPr>
          <w:i/>
          <w:sz w:val="20"/>
        </w:rPr>
      </w:pPr>
    </w:p>
    <w:p w:rsidR="00EA068F" w:rsidRDefault="00EA068F" w:rsidP="00C36A57">
      <w:pPr>
        <w:rPr>
          <w:sz w:val="20"/>
        </w:rPr>
      </w:pPr>
      <w:r>
        <w:rPr>
          <w:sz w:val="20"/>
        </w:rPr>
        <w:t xml:space="preserve">For more clarification see BRS VA / VASBI definitions: </w:t>
      </w:r>
      <w:hyperlink r:id="rId9" w:history="1">
        <w:r w:rsidRPr="00053ED4">
          <w:rPr>
            <w:rStyle w:val="Hyperlink"/>
            <w:sz w:val="20"/>
          </w:rPr>
          <w:t>http://vo2k0qci4747qecahf07gktt.wpengine.netdna-cdn.com/wp-content/uploads/2016/10/Definitions-of-Cannulation-Techniques-used-for-Arteriovenous-Fistulae-and-Grafts-for-Haemodialysis.pdf</w:t>
        </w:r>
      </w:hyperlink>
    </w:p>
    <w:p w:rsidR="000445B1" w:rsidRPr="00DD6D4F" w:rsidRDefault="000445B1" w:rsidP="00C36A57"/>
    <w:p w:rsidR="00C94C45" w:rsidRDefault="00C94C45" w:rsidP="00C36A57">
      <w:pPr>
        <w:rPr>
          <w:b/>
        </w:rPr>
      </w:pPr>
    </w:p>
    <w:p w:rsidR="00C36A57" w:rsidRDefault="00C36A57" w:rsidP="00C36A57">
      <w:pPr>
        <w:rPr>
          <w:b/>
        </w:rPr>
      </w:pPr>
      <w:r>
        <w:rPr>
          <w:b/>
        </w:rPr>
        <w:t>Missed Cannulation</w:t>
      </w:r>
    </w:p>
    <w:p w:rsidR="00C36A57" w:rsidRDefault="00C36A57" w:rsidP="00C36A57">
      <w:r>
        <w:t xml:space="preserve">Number of patients for that haemodialysis session that experienced more than one attempt to insert a needle at one needling site. </w:t>
      </w:r>
    </w:p>
    <w:p w:rsidR="00C36A57" w:rsidRDefault="00C36A57" w:rsidP="00C36A57"/>
    <w:p w:rsidR="00C36A57" w:rsidRPr="00C94C45" w:rsidRDefault="00C36A57" w:rsidP="00C36A57">
      <w:pPr>
        <w:rPr>
          <w:sz w:val="20"/>
        </w:rPr>
      </w:pPr>
      <w:r w:rsidRPr="00C94C45">
        <w:rPr>
          <w:sz w:val="20"/>
        </w:rPr>
        <w:t>More than one attempt is defined as either:</w:t>
      </w:r>
    </w:p>
    <w:p w:rsidR="00C36A57" w:rsidRPr="00C94C45" w:rsidRDefault="00EA068F" w:rsidP="00C36A57">
      <w:pPr>
        <w:pStyle w:val="ListParagraph"/>
        <w:numPr>
          <w:ilvl w:val="0"/>
          <w:numId w:val="14"/>
        </w:numPr>
        <w:rPr>
          <w:sz w:val="20"/>
        </w:rPr>
      </w:pPr>
      <w:r>
        <w:rPr>
          <w:sz w:val="20"/>
        </w:rPr>
        <w:t>Complete removal and the reinsertion of another needle by either the same or a different person</w:t>
      </w:r>
    </w:p>
    <w:p w:rsidR="00C36A57" w:rsidRPr="00C94C45" w:rsidRDefault="00C36A57" w:rsidP="00C36A57">
      <w:pPr>
        <w:pStyle w:val="ListParagraph"/>
        <w:numPr>
          <w:ilvl w:val="0"/>
          <w:numId w:val="14"/>
        </w:numPr>
        <w:rPr>
          <w:sz w:val="20"/>
        </w:rPr>
      </w:pPr>
      <w:r w:rsidRPr="00C94C45">
        <w:rPr>
          <w:sz w:val="20"/>
        </w:rPr>
        <w:t xml:space="preserve">Adjustment of the needing once taped in place after the first insertion. </w:t>
      </w:r>
    </w:p>
    <w:p w:rsidR="00C36A57" w:rsidRDefault="00C36A57" w:rsidP="00C36A57"/>
    <w:p w:rsidR="00C94C45" w:rsidRDefault="00C94C45" w:rsidP="00C36A57">
      <w:pPr>
        <w:rPr>
          <w:b/>
        </w:rPr>
      </w:pPr>
    </w:p>
    <w:p w:rsidR="00C94C45" w:rsidRDefault="00C94C45" w:rsidP="00C36A57">
      <w:pPr>
        <w:rPr>
          <w:b/>
        </w:rPr>
      </w:pPr>
      <w:r>
        <w:rPr>
          <w:b/>
        </w:rPr>
        <w:t>Patient Experience of Needling</w:t>
      </w:r>
    </w:p>
    <w:p w:rsidR="00C94C45" w:rsidRDefault="007D1C9C" w:rsidP="00C36A57">
      <w:r>
        <w:t>P</w:t>
      </w:r>
      <w:r w:rsidR="00E86DE8">
        <w:t xml:space="preserve">atients </w:t>
      </w:r>
      <w:r w:rsidR="00C94C45">
        <w:t>are asked about their needling experience, using the PREM needling question:</w:t>
      </w:r>
    </w:p>
    <w:p w:rsidR="00C94C45" w:rsidRDefault="00C94C45" w:rsidP="00C36A57">
      <w:r>
        <w:t>‘How often do the renal team insert your needles with as little pain as possible?</w:t>
      </w:r>
      <w:proofErr w:type="gramStart"/>
      <w:r>
        <w:t>’</w:t>
      </w:r>
      <w:r w:rsidR="007D1C9C">
        <w:t>.</w:t>
      </w:r>
      <w:proofErr w:type="gramEnd"/>
    </w:p>
    <w:p w:rsidR="007D1C9C" w:rsidRDefault="007D1C9C" w:rsidP="00C36A57">
      <w:r>
        <w:t>Patient rate this on a score of 1 to 7, with 1 being ‘Never’ and 7 being ‘Always’.</w:t>
      </w:r>
    </w:p>
    <w:p w:rsidR="00C94C45" w:rsidRDefault="00C94C45" w:rsidP="00C36A57"/>
    <w:p w:rsidR="00C94C45" w:rsidRPr="00C94C45" w:rsidRDefault="00E86DE8" w:rsidP="00C36A57">
      <w:pPr>
        <w:rPr>
          <w:sz w:val="20"/>
        </w:rPr>
      </w:pPr>
      <w:r>
        <w:rPr>
          <w:sz w:val="20"/>
        </w:rPr>
        <w:t>This question</w:t>
      </w:r>
      <w:r w:rsidR="00C94C45" w:rsidRPr="00C94C45">
        <w:rPr>
          <w:sz w:val="20"/>
        </w:rPr>
        <w:t xml:space="preserve"> should be asked using a written questionnaire and patients should be able to return answer anonymously via a box at the </w:t>
      </w:r>
      <w:r w:rsidRPr="00C94C45">
        <w:rPr>
          <w:sz w:val="20"/>
        </w:rPr>
        <w:t>nurses’</w:t>
      </w:r>
      <w:r w:rsidR="00C94C45" w:rsidRPr="00C94C45">
        <w:rPr>
          <w:sz w:val="20"/>
        </w:rPr>
        <w:t xml:space="preserve"> station. It </w:t>
      </w:r>
      <w:r w:rsidR="00030DAB">
        <w:rPr>
          <w:sz w:val="20"/>
        </w:rPr>
        <w:t>must</w:t>
      </w:r>
      <w:r w:rsidR="00C94C45" w:rsidRPr="00C94C45">
        <w:rPr>
          <w:sz w:val="20"/>
        </w:rPr>
        <w:t xml:space="preserve"> NOT be asked verbally by staff. </w:t>
      </w:r>
    </w:p>
    <w:p w:rsidR="00C94C45" w:rsidRPr="00C94C45" w:rsidRDefault="00C94C45" w:rsidP="00C36A57"/>
    <w:p w:rsidR="00C94C45" w:rsidRDefault="00C94C45" w:rsidP="00C36A57"/>
    <w:p w:rsidR="00030DAB" w:rsidRDefault="00030DAB" w:rsidP="00C36A57"/>
    <w:p w:rsidR="00EA068F" w:rsidRDefault="00EA068F" w:rsidP="00C36A57"/>
    <w:p w:rsidR="00EA068F" w:rsidRDefault="00EA068F" w:rsidP="00C36A57"/>
    <w:p w:rsidR="00EA068F" w:rsidRDefault="00EA068F" w:rsidP="00C36A57"/>
    <w:p w:rsidR="008D51E3" w:rsidRDefault="008D51E3">
      <w:pPr>
        <w:spacing w:after="200" w:line="276" w:lineRule="auto"/>
        <w:rPr>
          <w:b/>
          <w:u w:val="single"/>
        </w:rPr>
      </w:pPr>
      <w:r>
        <w:rPr>
          <w:b/>
          <w:u w:val="single"/>
        </w:rPr>
        <w:br w:type="page"/>
      </w:r>
    </w:p>
    <w:p w:rsidR="00E21948" w:rsidRPr="00E21948" w:rsidRDefault="00E21948" w:rsidP="00E21948">
      <w:pPr>
        <w:rPr>
          <w:b/>
          <w:u w:val="single"/>
        </w:rPr>
      </w:pPr>
      <w:r w:rsidRPr="00E21948">
        <w:rPr>
          <w:b/>
          <w:u w:val="single"/>
        </w:rPr>
        <w:lastRenderedPageBreak/>
        <w:t>Mandatory Measures</w:t>
      </w:r>
      <w:r>
        <w:rPr>
          <w:b/>
          <w:u w:val="single"/>
        </w:rPr>
        <w:t xml:space="preserve"> – Unit Level</w:t>
      </w:r>
    </w:p>
    <w:p w:rsidR="00EA068F" w:rsidRDefault="00EA068F" w:rsidP="00EA068F">
      <w:pPr>
        <w:rPr>
          <w:b/>
        </w:rPr>
      </w:pPr>
    </w:p>
    <w:p w:rsidR="00EA068F" w:rsidRDefault="00EA068F" w:rsidP="00EA068F">
      <w:r w:rsidRPr="00EA068F">
        <w:t>Data from the total haemodialysis population on th</w:t>
      </w:r>
      <w:r>
        <w:t>e designated day,</w:t>
      </w:r>
      <w:r w:rsidRPr="00EA068F">
        <w:t xml:space="preserve"> inclusive of patients not actually dialysing</w:t>
      </w:r>
      <w:r>
        <w:t xml:space="preserve"> that day</w:t>
      </w:r>
      <w:r w:rsidR="008D51E3">
        <w:t>, but dialysing the day before or after</w:t>
      </w:r>
      <w:r>
        <w:t xml:space="preserve">. </w:t>
      </w:r>
    </w:p>
    <w:p w:rsidR="00EA068F" w:rsidRDefault="00EA068F" w:rsidP="00C36A57">
      <w:pPr>
        <w:rPr>
          <w:b/>
        </w:rPr>
      </w:pPr>
    </w:p>
    <w:p w:rsidR="00EA068F" w:rsidRDefault="00EA068F" w:rsidP="00C36A57">
      <w:pPr>
        <w:rPr>
          <w:b/>
        </w:rPr>
      </w:pPr>
    </w:p>
    <w:p w:rsidR="00030DAB" w:rsidRDefault="00030DAB" w:rsidP="00C36A57">
      <w:pPr>
        <w:rPr>
          <w:b/>
        </w:rPr>
      </w:pPr>
      <w:r>
        <w:rPr>
          <w:b/>
        </w:rPr>
        <w:t>Rates of AVF / AVG / CVC</w:t>
      </w:r>
    </w:p>
    <w:p w:rsidR="00030DAB" w:rsidRPr="003476E2" w:rsidRDefault="00030DAB" w:rsidP="00C36A57">
      <w:pPr>
        <w:rPr>
          <w:i/>
        </w:rPr>
      </w:pPr>
      <w:r w:rsidRPr="003476E2">
        <w:rPr>
          <w:i/>
        </w:rPr>
        <w:t xml:space="preserve">% of the haemodialysis population using AVF, AVG and CVC for haemodialysis.   </w:t>
      </w:r>
    </w:p>
    <w:p w:rsidR="00030DAB" w:rsidRDefault="00030DAB" w:rsidP="00C36A57"/>
    <w:p w:rsidR="00030DAB" w:rsidRPr="00BA5A67" w:rsidRDefault="00BA5A67" w:rsidP="00BA5A67">
      <w:pPr>
        <w:rPr>
          <w:rStyle w:val="IntenseEmphasis"/>
          <w:sz w:val="20"/>
        </w:rPr>
      </w:pPr>
      <w:r w:rsidRPr="00BA5A67">
        <w:rPr>
          <w:rStyle w:val="IntenseEmphasis"/>
          <w:sz w:val="20"/>
        </w:rPr>
        <w:t xml:space="preserve">AVF: </w:t>
      </w:r>
      <w:r w:rsidRPr="00BA5A67">
        <w:rPr>
          <w:sz w:val="20"/>
        </w:rPr>
        <w:t>Cannulation of normal vein segment, even if flow is supplemented by artificial material</w:t>
      </w:r>
    </w:p>
    <w:p w:rsidR="00BA5A67" w:rsidRPr="00BA5A67" w:rsidRDefault="00BA5A67" w:rsidP="00BA5A67">
      <w:pPr>
        <w:rPr>
          <w:rStyle w:val="IntenseEmphasis"/>
          <w:sz w:val="20"/>
        </w:rPr>
      </w:pPr>
    </w:p>
    <w:p w:rsidR="00BA5A67" w:rsidRPr="00BA5A67" w:rsidRDefault="00BA5A67" w:rsidP="00BA5A67">
      <w:pPr>
        <w:rPr>
          <w:rStyle w:val="IntenseEmphasis"/>
          <w:sz w:val="20"/>
        </w:rPr>
      </w:pPr>
      <w:r w:rsidRPr="00BA5A67">
        <w:rPr>
          <w:rStyle w:val="IntenseEmphasis"/>
          <w:sz w:val="20"/>
        </w:rPr>
        <w:t xml:space="preserve">AVG: </w:t>
      </w:r>
      <w:r w:rsidRPr="00BA5A67">
        <w:rPr>
          <w:sz w:val="20"/>
        </w:rPr>
        <w:t>Cannulation of artificial material</w:t>
      </w:r>
    </w:p>
    <w:p w:rsidR="00BA5A67" w:rsidRPr="00BA5A67" w:rsidRDefault="00BA5A67" w:rsidP="00BA5A67">
      <w:pPr>
        <w:rPr>
          <w:rStyle w:val="IntenseEmphasis"/>
          <w:sz w:val="20"/>
        </w:rPr>
      </w:pPr>
    </w:p>
    <w:p w:rsidR="00BA5A67" w:rsidRPr="00BA5A67" w:rsidRDefault="00E21948" w:rsidP="00BA5A67">
      <w:pPr>
        <w:rPr>
          <w:rStyle w:val="IntenseEmphasis"/>
          <w:sz w:val="20"/>
        </w:rPr>
      </w:pPr>
      <w:r w:rsidRPr="00BA5A67">
        <w:rPr>
          <w:rStyle w:val="IntenseEmphasis"/>
          <w:sz w:val="20"/>
        </w:rPr>
        <w:t>Hybrid</w:t>
      </w:r>
      <w:r w:rsidR="00BA5A67" w:rsidRPr="00BA5A67">
        <w:rPr>
          <w:rStyle w:val="IntenseEmphasis"/>
          <w:sz w:val="20"/>
        </w:rPr>
        <w:t xml:space="preserve">: </w:t>
      </w:r>
      <w:r w:rsidR="00BA5A67" w:rsidRPr="00BA5A67">
        <w:rPr>
          <w:sz w:val="20"/>
        </w:rPr>
        <w:t>One site cannulates normal vein segment and one site cannulates artificial material</w:t>
      </w:r>
    </w:p>
    <w:p w:rsidR="00BA5A67" w:rsidRPr="00BA5A67" w:rsidRDefault="00BA5A67" w:rsidP="00BA5A67">
      <w:pPr>
        <w:rPr>
          <w:rStyle w:val="IntenseEmphasis"/>
          <w:sz w:val="20"/>
        </w:rPr>
      </w:pPr>
    </w:p>
    <w:p w:rsidR="00BA5A67" w:rsidRDefault="00BA5A67" w:rsidP="00BA5A67">
      <w:pPr>
        <w:rPr>
          <w:sz w:val="20"/>
        </w:rPr>
      </w:pPr>
      <w:r w:rsidRPr="00BA5A67">
        <w:rPr>
          <w:rStyle w:val="IntenseEmphasis"/>
          <w:sz w:val="20"/>
        </w:rPr>
        <w:t xml:space="preserve">CVC: </w:t>
      </w:r>
      <w:r w:rsidRPr="00BA5A67">
        <w:rPr>
          <w:sz w:val="20"/>
        </w:rPr>
        <w:t>Tunnelled or non-tunnelled central venous catheter</w:t>
      </w:r>
    </w:p>
    <w:p w:rsidR="00E86DE8" w:rsidRDefault="00E86DE8" w:rsidP="00BA5A67">
      <w:pPr>
        <w:rPr>
          <w:sz w:val="20"/>
        </w:rPr>
      </w:pPr>
    </w:p>
    <w:p w:rsidR="00E86DE8" w:rsidRPr="00BA5A67" w:rsidRDefault="00E86DE8" w:rsidP="00BA5A67">
      <w:pPr>
        <w:rPr>
          <w:sz w:val="20"/>
        </w:rPr>
      </w:pPr>
      <w:r>
        <w:rPr>
          <w:sz w:val="20"/>
        </w:rPr>
        <w:t>Patients who use more than one type of access score in both categories</w:t>
      </w:r>
      <w:r w:rsidR="00E21948">
        <w:rPr>
          <w:sz w:val="20"/>
        </w:rPr>
        <w:t>, except for AVF / AVG dual use</w:t>
      </w:r>
      <w:r>
        <w:rPr>
          <w:sz w:val="20"/>
        </w:rPr>
        <w:t xml:space="preserve">. </w:t>
      </w:r>
    </w:p>
    <w:p w:rsidR="00BA5A67" w:rsidRDefault="00BA5A67" w:rsidP="00BA5A67">
      <w:pPr>
        <w:rPr>
          <w:rStyle w:val="IntenseEmphasis"/>
        </w:rPr>
      </w:pPr>
    </w:p>
    <w:p w:rsidR="00E86DE8" w:rsidRPr="00BA5A67" w:rsidRDefault="00E86DE8" w:rsidP="00BA5A67">
      <w:pPr>
        <w:rPr>
          <w:rStyle w:val="IntenseEmphasis"/>
        </w:rPr>
      </w:pPr>
    </w:p>
    <w:p w:rsidR="00BA5A67" w:rsidRPr="00BA5A67" w:rsidRDefault="00BA5A67" w:rsidP="00BA5A67">
      <w:pPr>
        <w:pStyle w:val="NoSpacing"/>
        <w:rPr>
          <w:b/>
          <w:shd w:val="clear" w:color="auto" w:fill="FFFFFF"/>
        </w:rPr>
      </w:pPr>
      <w:r w:rsidRPr="00BA5A67">
        <w:rPr>
          <w:b/>
          <w:shd w:val="clear" w:color="auto" w:fill="FFFFFF"/>
        </w:rPr>
        <w:t>Numbers of AVF/G Lost</w:t>
      </w:r>
    </w:p>
    <w:p w:rsidR="00BA5A67" w:rsidRDefault="00BA5A67" w:rsidP="00BA5A67">
      <w:pPr>
        <w:pStyle w:val="NoSpacing"/>
        <w:rPr>
          <w:shd w:val="clear" w:color="auto" w:fill="FFFFFF"/>
        </w:rPr>
      </w:pPr>
      <w:r>
        <w:rPr>
          <w:shd w:val="clear" w:color="auto" w:fill="FFFFFF"/>
        </w:rPr>
        <w:t>Number of AVF/G in the current haemodialysis population that were cannulated for haemodialysis 1 month ago and are no longer cannulated for haemodialysis.</w:t>
      </w:r>
    </w:p>
    <w:p w:rsidR="00BA5A67" w:rsidRDefault="00BA5A67" w:rsidP="00BA5A67">
      <w:pPr>
        <w:pStyle w:val="NoSpacing"/>
        <w:rPr>
          <w:shd w:val="clear" w:color="auto" w:fill="FFFFFF"/>
        </w:rPr>
      </w:pPr>
    </w:p>
    <w:p w:rsidR="00BA5A67" w:rsidRDefault="00BA5A67" w:rsidP="00BA5A67">
      <w:pPr>
        <w:pStyle w:val="NoSpacing"/>
        <w:rPr>
          <w:shd w:val="clear" w:color="auto" w:fill="FFFFFF"/>
        </w:rPr>
      </w:pPr>
      <w:r>
        <w:rPr>
          <w:sz w:val="20"/>
          <w:shd w:val="clear" w:color="auto" w:fill="FFFFFF"/>
        </w:rPr>
        <w:t>This should exclude patient who have changed modality to peritoneal dialysis</w:t>
      </w:r>
      <w:r w:rsidR="00E86DE8">
        <w:rPr>
          <w:sz w:val="20"/>
          <w:shd w:val="clear" w:color="auto" w:fill="FFFFFF"/>
        </w:rPr>
        <w:t xml:space="preserve">, those </w:t>
      </w:r>
      <w:r>
        <w:rPr>
          <w:sz w:val="20"/>
          <w:shd w:val="clear" w:color="auto" w:fill="FFFFFF"/>
        </w:rPr>
        <w:t>transplanted</w:t>
      </w:r>
      <w:r w:rsidR="00E86DE8">
        <w:rPr>
          <w:sz w:val="20"/>
          <w:shd w:val="clear" w:color="auto" w:fill="FFFFFF"/>
        </w:rPr>
        <w:t>,</w:t>
      </w:r>
      <w:r>
        <w:rPr>
          <w:sz w:val="20"/>
          <w:shd w:val="clear" w:color="auto" w:fill="FFFFFF"/>
        </w:rPr>
        <w:t xml:space="preserve"> deaths and haemodialysis withdrawals</w:t>
      </w:r>
      <w:r w:rsidR="00E86DE8">
        <w:rPr>
          <w:sz w:val="20"/>
          <w:shd w:val="clear" w:color="auto" w:fill="FFFFFF"/>
        </w:rPr>
        <w:t xml:space="preserve"> in the last month</w:t>
      </w:r>
      <w:r>
        <w:rPr>
          <w:sz w:val="20"/>
          <w:shd w:val="clear" w:color="auto" w:fill="FFFFFF"/>
        </w:rPr>
        <w:t>. This is purely for active haemodialysis patients who are part of the haemodialysis population.</w:t>
      </w:r>
      <w:r>
        <w:rPr>
          <w:shd w:val="clear" w:color="auto" w:fill="FFFFFF"/>
        </w:rPr>
        <w:t xml:space="preserve"> </w:t>
      </w:r>
    </w:p>
    <w:p w:rsidR="00BA5A67" w:rsidRDefault="00BA5A67" w:rsidP="00BA5A67">
      <w:pPr>
        <w:pStyle w:val="NoSpacing"/>
        <w:rPr>
          <w:shd w:val="clear" w:color="auto" w:fill="FFFFFF"/>
        </w:rPr>
      </w:pPr>
    </w:p>
    <w:p w:rsidR="00E86DE8" w:rsidRDefault="00E86DE8" w:rsidP="00E86DE8">
      <w:pPr>
        <w:pStyle w:val="NoSpacing"/>
        <w:rPr>
          <w:b/>
          <w:shd w:val="clear" w:color="auto" w:fill="FFFFFF"/>
        </w:rPr>
      </w:pPr>
    </w:p>
    <w:p w:rsidR="00E86DE8" w:rsidRPr="00E86DE8" w:rsidRDefault="00BA5A67" w:rsidP="00E86DE8">
      <w:pPr>
        <w:pStyle w:val="NoSpacing"/>
        <w:rPr>
          <w:b/>
          <w:shd w:val="clear" w:color="auto" w:fill="FFFFFF"/>
        </w:rPr>
      </w:pPr>
      <w:r w:rsidRPr="00E86DE8">
        <w:rPr>
          <w:b/>
          <w:shd w:val="clear" w:color="auto" w:fill="FFFFFF"/>
        </w:rPr>
        <w:t>Numbers of New AVF/G</w:t>
      </w:r>
    </w:p>
    <w:p w:rsidR="00BA5A67" w:rsidRDefault="00BA5A67" w:rsidP="00E86DE8">
      <w:pPr>
        <w:pStyle w:val="NoSpacing"/>
        <w:rPr>
          <w:shd w:val="clear" w:color="auto" w:fill="FFFFFF"/>
        </w:rPr>
      </w:pPr>
      <w:r>
        <w:rPr>
          <w:shd w:val="clear" w:color="auto" w:fill="FFFFFF"/>
        </w:rPr>
        <w:t>Number of new AVF/G cannulated and used for</w:t>
      </w:r>
      <w:r w:rsidR="00E86DE8">
        <w:rPr>
          <w:shd w:val="clear" w:color="auto" w:fill="FFFFFF"/>
        </w:rPr>
        <w:t>, either</w:t>
      </w:r>
      <w:r>
        <w:rPr>
          <w:shd w:val="clear" w:color="auto" w:fill="FFFFFF"/>
        </w:rPr>
        <w:t xml:space="preserve"> fully or partially for the haemodialysis session, that were not in use 1 month ago.</w:t>
      </w:r>
    </w:p>
    <w:p w:rsidR="00B34000" w:rsidRDefault="00BA5A67" w:rsidP="00E86DE8">
      <w:pPr>
        <w:pStyle w:val="NormalWeb"/>
        <w:rPr>
          <w:sz w:val="20"/>
          <w:shd w:val="clear" w:color="auto" w:fill="FFFFFF"/>
        </w:rPr>
      </w:pPr>
      <w:r>
        <w:rPr>
          <w:sz w:val="20"/>
          <w:shd w:val="clear" w:color="auto" w:fill="FFFFFF"/>
        </w:rPr>
        <w:t xml:space="preserve">Exclusions as per numbers of AVF/G lost. </w:t>
      </w:r>
      <w:r w:rsidR="00E86DE8">
        <w:rPr>
          <w:sz w:val="20"/>
          <w:shd w:val="clear" w:color="auto" w:fill="FFFFFF"/>
        </w:rPr>
        <w:t xml:space="preserve">Any AVF/G cannulated and used for haemodialysis alongside CVC or only used for the partial treatment is counted in this number. New patients to haemodialysis using an AVF/G count in this number. </w:t>
      </w:r>
    </w:p>
    <w:p w:rsidR="00EA068F" w:rsidRDefault="00EA068F" w:rsidP="00EA068F">
      <w:pPr>
        <w:spacing w:after="200" w:line="276" w:lineRule="auto"/>
        <w:rPr>
          <w:b/>
        </w:rPr>
      </w:pPr>
      <w:r>
        <w:rPr>
          <w:b/>
        </w:rPr>
        <w:t>Infection</w:t>
      </w:r>
    </w:p>
    <w:p w:rsidR="00EA068F" w:rsidRDefault="00EA068F" w:rsidP="00EA068F">
      <w:r>
        <w:t xml:space="preserve">Number of patients who have experienced a VA infection in the last month </w:t>
      </w:r>
    </w:p>
    <w:p w:rsidR="00EA068F" w:rsidRDefault="00EA068F" w:rsidP="00EA068F"/>
    <w:p w:rsidR="00EA068F" w:rsidRPr="00030DAB" w:rsidRDefault="00EA068F" w:rsidP="00EA068F">
      <w:pPr>
        <w:rPr>
          <w:sz w:val="20"/>
        </w:rPr>
      </w:pPr>
      <w:r>
        <w:rPr>
          <w:sz w:val="20"/>
        </w:rPr>
        <w:t xml:space="preserve">Infection includes any haemodialysis patient who has received IV antibiotics &amp;/or a positive blood culture in the last month, for an infection directly attributed to the vascular access (including CVC) </w:t>
      </w:r>
      <w:r w:rsidRPr="00EA068F">
        <w:rPr>
          <w:b/>
          <w:sz w:val="20"/>
        </w:rPr>
        <w:t>or</w:t>
      </w:r>
      <w:r>
        <w:rPr>
          <w:sz w:val="20"/>
        </w:rPr>
        <w:t xml:space="preserve"> an infection with no other identified cause, even if there are no signs of infection on the vascular access. </w:t>
      </w:r>
    </w:p>
    <w:p w:rsidR="008D51E3" w:rsidRDefault="008D51E3">
      <w:pPr>
        <w:spacing w:after="200" w:line="276" w:lineRule="auto"/>
        <w:rPr>
          <w:b/>
          <w:u w:val="single"/>
          <w:shd w:val="clear" w:color="auto" w:fill="FFFFFF"/>
        </w:rPr>
      </w:pPr>
      <w:r>
        <w:rPr>
          <w:b/>
          <w:u w:val="single"/>
          <w:shd w:val="clear" w:color="auto" w:fill="FFFFFF"/>
        </w:rPr>
        <w:br w:type="page"/>
      </w:r>
    </w:p>
    <w:p w:rsidR="00E21948" w:rsidRDefault="00E21948" w:rsidP="00E86DE8">
      <w:pPr>
        <w:pStyle w:val="NormalWeb"/>
        <w:rPr>
          <w:b/>
          <w:u w:val="single"/>
          <w:shd w:val="clear" w:color="auto" w:fill="FFFFFF"/>
        </w:rPr>
      </w:pPr>
      <w:r>
        <w:rPr>
          <w:b/>
          <w:u w:val="single"/>
          <w:shd w:val="clear" w:color="auto" w:fill="FFFFFF"/>
        </w:rPr>
        <w:lastRenderedPageBreak/>
        <w:t>Optional Measures</w:t>
      </w:r>
      <w:r w:rsidR="008D51E3">
        <w:rPr>
          <w:b/>
          <w:u w:val="single"/>
          <w:shd w:val="clear" w:color="auto" w:fill="FFFFFF"/>
        </w:rPr>
        <w:t xml:space="preserve"> – Patient Level</w:t>
      </w:r>
    </w:p>
    <w:p w:rsidR="00E21948" w:rsidRDefault="00E21948" w:rsidP="00E21948"/>
    <w:p w:rsidR="008D51E3" w:rsidRDefault="008D51E3" w:rsidP="008D51E3">
      <w:pPr>
        <w:rPr>
          <w:b/>
        </w:rPr>
      </w:pPr>
      <w:r>
        <w:rPr>
          <w:b/>
        </w:rPr>
        <w:t>Assessment of Fistula / Graft for Signs of Abnormalities</w:t>
      </w:r>
    </w:p>
    <w:p w:rsidR="008D51E3" w:rsidRDefault="008D51E3" w:rsidP="008D51E3">
      <w:r>
        <w:t xml:space="preserve">Use the BRS VA / VASBI AVF/AVG Scoring Tool to assess the function of each fistula / graft. Count the number of patients with scores of 0, 1, 2, </w:t>
      </w:r>
      <w:proofErr w:type="gramStart"/>
      <w:r>
        <w:t>3</w:t>
      </w:r>
      <w:proofErr w:type="gramEnd"/>
      <w:r>
        <w:t xml:space="preserve">. </w:t>
      </w:r>
    </w:p>
    <w:p w:rsidR="008D51E3" w:rsidRPr="00C94C45" w:rsidRDefault="008D51E3" w:rsidP="008D51E3"/>
    <w:p w:rsidR="00E21948" w:rsidRDefault="00E21948" w:rsidP="00E21948">
      <w:pPr>
        <w:rPr>
          <w:b/>
        </w:rPr>
      </w:pPr>
      <w:r>
        <w:rPr>
          <w:b/>
        </w:rPr>
        <w:t>Unscheduled Hospital Attendance</w:t>
      </w:r>
    </w:p>
    <w:p w:rsidR="00E21948" w:rsidRPr="00E21948" w:rsidRDefault="00E21948" w:rsidP="00E21948">
      <w:pPr>
        <w:rPr>
          <w:b/>
          <w:u w:val="single"/>
          <w:shd w:val="clear" w:color="auto" w:fill="FFFFFF"/>
        </w:rPr>
      </w:pPr>
      <w:r>
        <w:t>Number of patients who attended hospital either outside their normal haemodialysis time or during their haemodialysis treatment and received an unscheduled review triggered, in part or full, due to problems with their vascular access</w:t>
      </w:r>
      <w:r w:rsidRPr="00E86DE8">
        <w:t xml:space="preserve"> </w:t>
      </w:r>
      <w:r>
        <w:t xml:space="preserve">for a sample of patients.  </w:t>
      </w:r>
    </w:p>
    <w:sectPr w:rsidR="00E21948" w:rsidRPr="00E2194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E9" w:rsidRDefault="004C08E9" w:rsidP="00C36A57">
      <w:r>
        <w:separator/>
      </w:r>
    </w:p>
  </w:endnote>
  <w:endnote w:type="continuationSeparator" w:id="0">
    <w:p w:rsidR="004C08E9" w:rsidRDefault="004C08E9" w:rsidP="00C3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E9" w:rsidRDefault="004C08E9" w:rsidP="00C36A57">
      <w:r>
        <w:separator/>
      </w:r>
    </w:p>
  </w:footnote>
  <w:footnote w:type="continuationSeparator" w:id="0">
    <w:p w:rsidR="004C08E9" w:rsidRDefault="004C08E9" w:rsidP="00C36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F5" w:rsidRDefault="00745C3C" w:rsidP="00C36A57">
    <w:pPr>
      <w:pStyle w:val="Header"/>
      <w:rPr>
        <w:noProof/>
      </w:rPr>
    </w:pPr>
    <w:r>
      <w:rPr>
        <w:noProof/>
      </w:rPr>
      <w:t xml:space="preserve">   </w:t>
    </w:r>
    <w:r>
      <w:rPr>
        <w:noProof/>
      </w:rPr>
      <w:drawing>
        <wp:inline distT="0" distB="0" distL="0" distR="0" wp14:anchorId="39D8FC06" wp14:editId="5449432D">
          <wp:extent cx="609600" cy="609600"/>
          <wp:effectExtent l="0" t="0" r="0" b="0"/>
          <wp:docPr id="1027" name="Picture 1" descr="https://gallery.mailchimp.com/ba16832efb8ed279407c624e8/images/60dd96da-ef6b-4cbd-a000-b940b911f5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https://gallery.mailchimp.com/ba16832efb8ed279407c624e8/images/60dd96da-ef6b-4cbd-a000-b940b911f5f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45" cy="608245"/>
                  </a:xfrm>
                  <a:prstGeom prst="rect">
                    <a:avLst/>
                  </a:prstGeom>
                  <a:noFill/>
                  <a:ln>
                    <a:noFill/>
                  </a:ln>
                  <a:extLst/>
                </pic:spPr>
              </pic:pic>
            </a:graphicData>
          </a:graphic>
        </wp:inline>
      </w:drawing>
    </w:r>
    <w:r>
      <w:rPr>
        <w:noProof/>
      </w:rPr>
      <w:t xml:space="preserve">     </w:t>
    </w:r>
    <w:r>
      <w:rPr>
        <w:noProof/>
      </w:rPr>
      <w:drawing>
        <wp:inline distT="0" distB="0" distL="0" distR="0" wp14:anchorId="19A2FCC0" wp14:editId="1CC71EB4">
          <wp:extent cx="1219200" cy="257290"/>
          <wp:effectExtent l="0" t="0" r="0" b="9525"/>
          <wp:docPr id="1028" name="Picture 4" descr="D:\Katie\Work\BRS VA SIG\BRS VA S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Katie\Work\BRS VA SIG\BRS VA SIG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188" cy="258343"/>
                  </a:xfrm>
                  <a:prstGeom prst="rect">
                    <a:avLst/>
                  </a:prstGeom>
                  <a:noFill/>
                  <a:extLst/>
                </pic:spPr>
              </pic:pic>
            </a:graphicData>
          </a:graphic>
        </wp:inline>
      </w:drawing>
    </w:r>
    <w:r>
      <w:rPr>
        <w:noProof/>
      </w:rPr>
      <w:t xml:space="preserve">    </w:t>
    </w:r>
    <w:r>
      <w:rPr>
        <w:noProof/>
      </w:rPr>
      <w:drawing>
        <wp:inline distT="0" distB="0" distL="0" distR="0" wp14:anchorId="1DF1A7C6" wp14:editId="5ABE1C3D">
          <wp:extent cx="1447800" cy="639726"/>
          <wp:effectExtent l="0" t="0" r="0" b="8255"/>
          <wp:docPr id="1" name="Picture 1" descr="D:\Katie\Work\BRS VA SIG\MAGIC\MAG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tie\Work\BRS VA SIG\MAGIC\MAGIC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5607" cy="643176"/>
                  </a:xfrm>
                  <a:prstGeom prst="rect">
                    <a:avLst/>
                  </a:prstGeom>
                  <a:noFill/>
                  <a:ln>
                    <a:noFill/>
                  </a:ln>
                </pic:spPr>
              </pic:pic>
            </a:graphicData>
          </a:graphic>
        </wp:inline>
      </w:drawing>
    </w:r>
    <w:r>
      <w:rPr>
        <w:noProof/>
      </w:rPr>
      <w:t xml:space="preserve">      </w:t>
    </w:r>
    <w:r>
      <w:rPr>
        <w:noProof/>
      </w:rPr>
      <w:drawing>
        <wp:inline distT="0" distB="0" distL="0" distR="0" wp14:anchorId="4A4E2AAC" wp14:editId="33C7F282">
          <wp:extent cx="620142" cy="561123"/>
          <wp:effectExtent l="38100" t="0" r="85090" b="298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4"/>
                  <a:srcRect/>
                  <a:stretch>
                    <a:fillRect/>
                  </a:stretch>
                </pic:blipFill>
                <pic:spPr bwMode="auto">
                  <a:xfrm>
                    <a:off x="0" y="0"/>
                    <a:ext cx="622346" cy="563118"/>
                  </a:xfrm>
                  <a:prstGeom prst="rect">
                    <a:avLst/>
                  </a:prstGeom>
                  <a:noFill/>
                  <a:ln>
                    <a:noFill/>
                  </a:ln>
                  <a:effectLst>
                    <a:outerShdw blurRad="50800" dist="38100" dir="2700000" algn="tl" rotWithShape="0">
                      <a:srgbClr val="808080">
                        <a:alpha val="39999"/>
                      </a:srgbClr>
                    </a:outerShdw>
                  </a:effectLst>
                  <a:extLst/>
                </pic:spPr>
              </pic:pic>
            </a:graphicData>
          </a:graphic>
        </wp:inline>
      </w:drawing>
    </w:r>
    <w:r>
      <w:rPr>
        <w:noProof/>
      </w:rPr>
      <w:t xml:space="preserve">   </w:t>
    </w:r>
    <w:r>
      <w:rPr>
        <w:noProof/>
      </w:rPr>
      <w:drawing>
        <wp:inline distT="0" distB="0" distL="0" distR="0" wp14:anchorId="18AF3FE4" wp14:editId="1632DF6E">
          <wp:extent cx="742950" cy="45836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677" cy="461893"/>
                  </a:xfrm>
                  <a:prstGeom prst="rect">
                    <a:avLst/>
                  </a:prstGeom>
                  <a:noFill/>
                  <a:ln>
                    <a:noFill/>
                  </a:ln>
                  <a:effectLst/>
                  <a:extLst/>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164D"/>
    <w:multiLevelType w:val="hybridMultilevel"/>
    <w:tmpl w:val="68748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E70F54"/>
    <w:multiLevelType w:val="hybridMultilevel"/>
    <w:tmpl w:val="ECDAF4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53E09"/>
    <w:multiLevelType w:val="hybridMultilevel"/>
    <w:tmpl w:val="37B441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B41D5"/>
    <w:multiLevelType w:val="hybridMultilevel"/>
    <w:tmpl w:val="923E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4395C"/>
    <w:multiLevelType w:val="hybridMultilevel"/>
    <w:tmpl w:val="9252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F602A4"/>
    <w:multiLevelType w:val="hybridMultilevel"/>
    <w:tmpl w:val="1B46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370ADF"/>
    <w:multiLevelType w:val="hybridMultilevel"/>
    <w:tmpl w:val="6CB2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125077"/>
    <w:multiLevelType w:val="hybridMultilevel"/>
    <w:tmpl w:val="717C03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E763AEB"/>
    <w:multiLevelType w:val="hybridMultilevel"/>
    <w:tmpl w:val="C75A5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874E1C"/>
    <w:multiLevelType w:val="hybridMultilevel"/>
    <w:tmpl w:val="79DC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E977B8"/>
    <w:multiLevelType w:val="hybridMultilevel"/>
    <w:tmpl w:val="31D89E4C"/>
    <w:lvl w:ilvl="0" w:tplc="3A02C5E8">
      <w:start w:val="1"/>
      <w:numFmt w:val="bullet"/>
      <w:lvlText w:val="•"/>
      <w:lvlJc w:val="left"/>
      <w:pPr>
        <w:tabs>
          <w:tab w:val="num" w:pos="720"/>
        </w:tabs>
        <w:ind w:left="720" w:hanging="360"/>
      </w:pPr>
      <w:rPr>
        <w:rFonts w:ascii="Times New Roman" w:hAnsi="Times New Roman" w:hint="default"/>
      </w:rPr>
    </w:lvl>
    <w:lvl w:ilvl="1" w:tplc="EBCA268C" w:tentative="1">
      <w:start w:val="1"/>
      <w:numFmt w:val="bullet"/>
      <w:lvlText w:val="•"/>
      <w:lvlJc w:val="left"/>
      <w:pPr>
        <w:tabs>
          <w:tab w:val="num" w:pos="1440"/>
        </w:tabs>
        <w:ind w:left="1440" w:hanging="360"/>
      </w:pPr>
      <w:rPr>
        <w:rFonts w:ascii="Times New Roman" w:hAnsi="Times New Roman" w:hint="default"/>
      </w:rPr>
    </w:lvl>
    <w:lvl w:ilvl="2" w:tplc="4B428798" w:tentative="1">
      <w:start w:val="1"/>
      <w:numFmt w:val="bullet"/>
      <w:lvlText w:val="•"/>
      <w:lvlJc w:val="left"/>
      <w:pPr>
        <w:tabs>
          <w:tab w:val="num" w:pos="2160"/>
        </w:tabs>
        <w:ind w:left="2160" w:hanging="360"/>
      </w:pPr>
      <w:rPr>
        <w:rFonts w:ascii="Times New Roman" w:hAnsi="Times New Roman" w:hint="default"/>
      </w:rPr>
    </w:lvl>
    <w:lvl w:ilvl="3" w:tplc="54BE5514" w:tentative="1">
      <w:start w:val="1"/>
      <w:numFmt w:val="bullet"/>
      <w:lvlText w:val="•"/>
      <w:lvlJc w:val="left"/>
      <w:pPr>
        <w:tabs>
          <w:tab w:val="num" w:pos="2880"/>
        </w:tabs>
        <w:ind w:left="2880" w:hanging="360"/>
      </w:pPr>
      <w:rPr>
        <w:rFonts w:ascii="Times New Roman" w:hAnsi="Times New Roman" w:hint="default"/>
      </w:rPr>
    </w:lvl>
    <w:lvl w:ilvl="4" w:tplc="360A81BC" w:tentative="1">
      <w:start w:val="1"/>
      <w:numFmt w:val="bullet"/>
      <w:lvlText w:val="•"/>
      <w:lvlJc w:val="left"/>
      <w:pPr>
        <w:tabs>
          <w:tab w:val="num" w:pos="3600"/>
        </w:tabs>
        <w:ind w:left="3600" w:hanging="360"/>
      </w:pPr>
      <w:rPr>
        <w:rFonts w:ascii="Times New Roman" w:hAnsi="Times New Roman" w:hint="default"/>
      </w:rPr>
    </w:lvl>
    <w:lvl w:ilvl="5" w:tplc="AA42361A" w:tentative="1">
      <w:start w:val="1"/>
      <w:numFmt w:val="bullet"/>
      <w:lvlText w:val="•"/>
      <w:lvlJc w:val="left"/>
      <w:pPr>
        <w:tabs>
          <w:tab w:val="num" w:pos="4320"/>
        </w:tabs>
        <w:ind w:left="4320" w:hanging="360"/>
      </w:pPr>
      <w:rPr>
        <w:rFonts w:ascii="Times New Roman" w:hAnsi="Times New Roman" w:hint="default"/>
      </w:rPr>
    </w:lvl>
    <w:lvl w:ilvl="6" w:tplc="1398FCB8" w:tentative="1">
      <w:start w:val="1"/>
      <w:numFmt w:val="bullet"/>
      <w:lvlText w:val="•"/>
      <w:lvlJc w:val="left"/>
      <w:pPr>
        <w:tabs>
          <w:tab w:val="num" w:pos="5040"/>
        </w:tabs>
        <w:ind w:left="5040" w:hanging="360"/>
      </w:pPr>
      <w:rPr>
        <w:rFonts w:ascii="Times New Roman" w:hAnsi="Times New Roman" w:hint="default"/>
      </w:rPr>
    </w:lvl>
    <w:lvl w:ilvl="7" w:tplc="DA92B842" w:tentative="1">
      <w:start w:val="1"/>
      <w:numFmt w:val="bullet"/>
      <w:lvlText w:val="•"/>
      <w:lvlJc w:val="left"/>
      <w:pPr>
        <w:tabs>
          <w:tab w:val="num" w:pos="5760"/>
        </w:tabs>
        <w:ind w:left="5760" w:hanging="360"/>
      </w:pPr>
      <w:rPr>
        <w:rFonts w:ascii="Times New Roman" w:hAnsi="Times New Roman" w:hint="default"/>
      </w:rPr>
    </w:lvl>
    <w:lvl w:ilvl="8" w:tplc="3A288C7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0194348"/>
    <w:multiLevelType w:val="hybridMultilevel"/>
    <w:tmpl w:val="0276D0D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CE3CE7"/>
    <w:multiLevelType w:val="hybridMultilevel"/>
    <w:tmpl w:val="C75A5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5E3EE8"/>
    <w:multiLevelType w:val="hybridMultilevel"/>
    <w:tmpl w:val="0AEC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A26506"/>
    <w:multiLevelType w:val="hybridMultilevel"/>
    <w:tmpl w:val="ECDAF4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1"/>
  </w:num>
  <w:num w:numId="5">
    <w:abstractNumId w:val="12"/>
  </w:num>
  <w:num w:numId="6">
    <w:abstractNumId w:val="11"/>
  </w:num>
  <w:num w:numId="7">
    <w:abstractNumId w:val="0"/>
  </w:num>
  <w:num w:numId="8">
    <w:abstractNumId w:val="4"/>
  </w:num>
  <w:num w:numId="9">
    <w:abstractNumId w:val="9"/>
  </w:num>
  <w:num w:numId="10">
    <w:abstractNumId w:val="2"/>
  </w:num>
  <w:num w:numId="11">
    <w:abstractNumId w:val="13"/>
  </w:num>
  <w:num w:numId="12">
    <w:abstractNumId w:val="6"/>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26"/>
    <w:rsid w:val="000165B5"/>
    <w:rsid w:val="00030DAB"/>
    <w:rsid w:val="000445B1"/>
    <w:rsid w:val="00096369"/>
    <w:rsid w:val="00114008"/>
    <w:rsid w:val="00163418"/>
    <w:rsid w:val="0019260B"/>
    <w:rsid w:val="001B2771"/>
    <w:rsid w:val="00282224"/>
    <w:rsid w:val="003476E2"/>
    <w:rsid w:val="00481928"/>
    <w:rsid w:val="004B7998"/>
    <w:rsid w:val="004C08E9"/>
    <w:rsid w:val="004F1A49"/>
    <w:rsid w:val="005017B0"/>
    <w:rsid w:val="005226A5"/>
    <w:rsid w:val="005356C9"/>
    <w:rsid w:val="00557693"/>
    <w:rsid w:val="005B00D6"/>
    <w:rsid w:val="005D0F44"/>
    <w:rsid w:val="005D2B9D"/>
    <w:rsid w:val="006029D0"/>
    <w:rsid w:val="00631A2A"/>
    <w:rsid w:val="00745C3C"/>
    <w:rsid w:val="007714E8"/>
    <w:rsid w:val="007733E4"/>
    <w:rsid w:val="00797566"/>
    <w:rsid w:val="007A3779"/>
    <w:rsid w:val="007D16CB"/>
    <w:rsid w:val="007D1C9C"/>
    <w:rsid w:val="008126C9"/>
    <w:rsid w:val="00833151"/>
    <w:rsid w:val="0085320B"/>
    <w:rsid w:val="008D5139"/>
    <w:rsid w:val="008D51E3"/>
    <w:rsid w:val="008E7810"/>
    <w:rsid w:val="00964041"/>
    <w:rsid w:val="009D2E36"/>
    <w:rsid w:val="009F1D26"/>
    <w:rsid w:val="00A2307C"/>
    <w:rsid w:val="00A6500A"/>
    <w:rsid w:val="00A76A16"/>
    <w:rsid w:val="00AA24F5"/>
    <w:rsid w:val="00AC7ED6"/>
    <w:rsid w:val="00AD4D2E"/>
    <w:rsid w:val="00AF5E76"/>
    <w:rsid w:val="00B34000"/>
    <w:rsid w:val="00B80C8D"/>
    <w:rsid w:val="00B9257D"/>
    <w:rsid w:val="00BA2BFC"/>
    <w:rsid w:val="00BA5A67"/>
    <w:rsid w:val="00BB3E55"/>
    <w:rsid w:val="00BC2094"/>
    <w:rsid w:val="00BF1767"/>
    <w:rsid w:val="00C01F14"/>
    <w:rsid w:val="00C05015"/>
    <w:rsid w:val="00C078B1"/>
    <w:rsid w:val="00C36A57"/>
    <w:rsid w:val="00C94C45"/>
    <w:rsid w:val="00D128AF"/>
    <w:rsid w:val="00D1519C"/>
    <w:rsid w:val="00D94FEE"/>
    <w:rsid w:val="00DD08E1"/>
    <w:rsid w:val="00DD6D4F"/>
    <w:rsid w:val="00DE7FAB"/>
    <w:rsid w:val="00E12145"/>
    <w:rsid w:val="00E21948"/>
    <w:rsid w:val="00E5103E"/>
    <w:rsid w:val="00E56A2B"/>
    <w:rsid w:val="00E86DE8"/>
    <w:rsid w:val="00EA068F"/>
    <w:rsid w:val="00ED0F24"/>
    <w:rsid w:val="00EE3B02"/>
    <w:rsid w:val="00F07D4F"/>
    <w:rsid w:val="00F20FD7"/>
    <w:rsid w:val="00F857B2"/>
    <w:rsid w:val="00FC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DF5094-3F9E-43CF-85B6-9943656A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57"/>
    <w:pPr>
      <w:spacing w:after="0" w:line="240" w:lineRule="auto"/>
    </w:pPr>
    <w:rPr>
      <w:rFonts w:ascii="Arial" w:eastAsia="Times New Roman" w:hAnsi="Arial" w:cs="Arial"/>
      <w:iCs/>
      <w:color w:val="000000" w:themeColor="tex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D26"/>
    <w:pPr>
      <w:spacing w:before="100" w:beforeAutospacing="1" w:after="100" w:afterAutospacing="1"/>
    </w:pPr>
  </w:style>
  <w:style w:type="paragraph" w:styleId="ListParagraph">
    <w:name w:val="List Paragraph"/>
    <w:basedOn w:val="Normal"/>
    <w:uiPriority w:val="34"/>
    <w:qFormat/>
    <w:rsid w:val="009F1D26"/>
    <w:pPr>
      <w:ind w:left="720"/>
      <w:contextualSpacing/>
    </w:pPr>
  </w:style>
  <w:style w:type="character" w:styleId="CommentReference">
    <w:name w:val="annotation reference"/>
    <w:basedOn w:val="DefaultParagraphFont"/>
    <w:uiPriority w:val="99"/>
    <w:semiHidden/>
    <w:unhideWhenUsed/>
    <w:rsid w:val="00C05015"/>
    <w:rPr>
      <w:sz w:val="16"/>
      <w:szCs w:val="16"/>
    </w:rPr>
  </w:style>
  <w:style w:type="paragraph" w:styleId="CommentText">
    <w:name w:val="annotation text"/>
    <w:basedOn w:val="Normal"/>
    <w:link w:val="CommentTextChar"/>
    <w:uiPriority w:val="99"/>
    <w:semiHidden/>
    <w:unhideWhenUsed/>
    <w:rsid w:val="00C05015"/>
    <w:rPr>
      <w:sz w:val="20"/>
      <w:szCs w:val="20"/>
    </w:rPr>
  </w:style>
  <w:style w:type="character" w:customStyle="1" w:styleId="CommentTextChar">
    <w:name w:val="Comment Text Char"/>
    <w:basedOn w:val="DefaultParagraphFont"/>
    <w:link w:val="CommentText"/>
    <w:uiPriority w:val="99"/>
    <w:semiHidden/>
    <w:rsid w:val="00C05015"/>
    <w:rPr>
      <w:sz w:val="20"/>
      <w:szCs w:val="20"/>
    </w:rPr>
  </w:style>
  <w:style w:type="paragraph" w:styleId="CommentSubject">
    <w:name w:val="annotation subject"/>
    <w:basedOn w:val="CommentText"/>
    <w:next w:val="CommentText"/>
    <w:link w:val="CommentSubjectChar"/>
    <w:uiPriority w:val="99"/>
    <w:semiHidden/>
    <w:unhideWhenUsed/>
    <w:rsid w:val="00C05015"/>
    <w:rPr>
      <w:b/>
      <w:bCs/>
    </w:rPr>
  </w:style>
  <w:style w:type="character" w:customStyle="1" w:styleId="CommentSubjectChar">
    <w:name w:val="Comment Subject Char"/>
    <w:basedOn w:val="CommentTextChar"/>
    <w:link w:val="CommentSubject"/>
    <w:uiPriority w:val="99"/>
    <w:semiHidden/>
    <w:rsid w:val="00C05015"/>
    <w:rPr>
      <w:b/>
      <w:bCs/>
      <w:sz w:val="20"/>
      <w:szCs w:val="20"/>
    </w:rPr>
  </w:style>
  <w:style w:type="paragraph" w:styleId="BalloonText">
    <w:name w:val="Balloon Text"/>
    <w:basedOn w:val="Normal"/>
    <w:link w:val="BalloonTextChar"/>
    <w:uiPriority w:val="99"/>
    <w:semiHidden/>
    <w:unhideWhenUsed/>
    <w:rsid w:val="00C05015"/>
    <w:rPr>
      <w:rFonts w:ascii="Tahoma" w:hAnsi="Tahoma" w:cs="Tahoma"/>
      <w:sz w:val="16"/>
      <w:szCs w:val="16"/>
    </w:rPr>
  </w:style>
  <w:style w:type="character" w:customStyle="1" w:styleId="BalloonTextChar">
    <w:name w:val="Balloon Text Char"/>
    <w:basedOn w:val="DefaultParagraphFont"/>
    <w:link w:val="BalloonText"/>
    <w:uiPriority w:val="99"/>
    <w:semiHidden/>
    <w:rsid w:val="00C05015"/>
    <w:rPr>
      <w:rFonts w:ascii="Tahoma" w:hAnsi="Tahoma" w:cs="Tahoma"/>
      <w:sz w:val="16"/>
      <w:szCs w:val="16"/>
    </w:rPr>
  </w:style>
  <w:style w:type="paragraph" w:styleId="Header">
    <w:name w:val="header"/>
    <w:basedOn w:val="Normal"/>
    <w:link w:val="HeaderChar"/>
    <w:uiPriority w:val="99"/>
    <w:unhideWhenUsed/>
    <w:rsid w:val="00AA24F5"/>
    <w:pPr>
      <w:tabs>
        <w:tab w:val="center" w:pos="4513"/>
        <w:tab w:val="right" w:pos="9026"/>
      </w:tabs>
    </w:pPr>
  </w:style>
  <w:style w:type="character" w:customStyle="1" w:styleId="HeaderChar">
    <w:name w:val="Header Char"/>
    <w:basedOn w:val="DefaultParagraphFont"/>
    <w:link w:val="Header"/>
    <w:uiPriority w:val="99"/>
    <w:rsid w:val="00AA24F5"/>
  </w:style>
  <w:style w:type="paragraph" w:styleId="Footer">
    <w:name w:val="footer"/>
    <w:basedOn w:val="Normal"/>
    <w:link w:val="FooterChar"/>
    <w:uiPriority w:val="99"/>
    <w:unhideWhenUsed/>
    <w:rsid w:val="00AA24F5"/>
    <w:pPr>
      <w:tabs>
        <w:tab w:val="center" w:pos="4513"/>
        <w:tab w:val="right" w:pos="9026"/>
      </w:tabs>
    </w:pPr>
  </w:style>
  <w:style w:type="character" w:customStyle="1" w:styleId="FooterChar">
    <w:name w:val="Footer Char"/>
    <w:basedOn w:val="DefaultParagraphFont"/>
    <w:link w:val="Footer"/>
    <w:uiPriority w:val="99"/>
    <w:rsid w:val="00AA24F5"/>
  </w:style>
  <w:style w:type="paragraph" w:styleId="FootnoteText">
    <w:name w:val="footnote text"/>
    <w:basedOn w:val="Normal"/>
    <w:link w:val="FootnoteTextChar"/>
    <w:semiHidden/>
    <w:rsid w:val="008D5139"/>
    <w:rPr>
      <w:sz w:val="20"/>
      <w:szCs w:val="20"/>
    </w:rPr>
  </w:style>
  <w:style w:type="character" w:customStyle="1" w:styleId="FootnoteTextChar">
    <w:name w:val="Footnote Text Char"/>
    <w:basedOn w:val="DefaultParagraphFont"/>
    <w:link w:val="FootnoteText"/>
    <w:semiHidden/>
    <w:rsid w:val="008D5139"/>
    <w:rPr>
      <w:rFonts w:ascii="Times New Roman" w:eastAsia="Times New Roman" w:hAnsi="Times New Roman" w:cs="Times New Roman"/>
      <w:sz w:val="20"/>
      <w:szCs w:val="20"/>
      <w:lang w:eastAsia="en-GB"/>
    </w:rPr>
  </w:style>
  <w:style w:type="character" w:styleId="FootnoteReference">
    <w:name w:val="footnote reference"/>
    <w:semiHidden/>
    <w:rsid w:val="008D5139"/>
    <w:rPr>
      <w:vertAlign w:val="superscript"/>
    </w:rPr>
  </w:style>
  <w:style w:type="character" w:styleId="Hyperlink">
    <w:name w:val="Hyperlink"/>
    <w:rsid w:val="008D5139"/>
    <w:rPr>
      <w:color w:val="0000FF"/>
      <w:u w:val="single"/>
    </w:rPr>
  </w:style>
  <w:style w:type="paragraph" w:styleId="IntenseQuote">
    <w:name w:val="Intense Quote"/>
    <w:basedOn w:val="Normal"/>
    <w:next w:val="Normal"/>
    <w:link w:val="IntenseQuoteChar"/>
    <w:uiPriority w:val="30"/>
    <w:qFormat/>
    <w:rsid w:val="004F1A49"/>
    <w:pPr>
      <w:pBdr>
        <w:bottom w:val="single" w:sz="4" w:space="4" w:color="4F81BD" w:themeColor="accent1"/>
      </w:pBdr>
      <w:spacing w:before="200" w:after="280"/>
      <w:ind w:left="936" w:right="936"/>
    </w:pPr>
    <w:rPr>
      <w:b/>
      <w:bCs/>
      <w:i/>
      <w:iCs w:val="0"/>
      <w:color w:val="4F81BD" w:themeColor="accent1"/>
    </w:rPr>
  </w:style>
  <w:style w:type="character" w:customStyle="1" w:styleId="IntenseQuoteChar">
    <w:name w:val="Intense Quote Char"/>
    <w:basedOn w:val="DefaultParagraphFont"/>
    <w:link w:val="IntenseQuote"/>
    <w:uiPriority w:val="30"/>
    <w:rsid w:val="004F1A49"/>
    <w:rPr>
      <w:rFonts w:ascii="Times New Roman" w:eastAsia="Times New Roman" w:hAnsi="Times New Roman" w:cs="Times New Roman"/>
      <w:b/>
      <w:bCs/>
      <w:i/>
      <w:iCs/>
      <w:color w:val="4F81BD" w:themeColor="accent1"/>
      <w:sz w:val="24"/>
      <w:szCs w:val="24"/>
      <w:lang w:eastAsia="en-GB"/>
    </w:rPr>
  </w:style>
  <w:style w:type="paragraph" w:styleId="Quote">
    <w:name w:val="Quote"/>
    <w:basedOn w:val="Normal"/>
    <w:next w:val="Normal"/>
    <w:link w:val="QuoteChar"/>
    <w:uiPriority w:val="29"/>
    <w:qFormat/>
    <w:rsid w:val="004F1A49"/>
    <w:rPr>
      <w:i/>
      <w:iCs w:val="0"/>
    </w:rPr>
  </w:style>
  <w:style w:type="character" w:customStyle="1" w:styleId="QuoteChar">
    <w:name w:val="Quote Char"/>
    <w:basedOn w:val="DefaultParagraphFont"/>
    <w:link w:val="Quote"/>
    <w:uiPriority w:val="29"/>
    <w:rsid w:val="004F1A49"/>
    <w:rPr>
      <w:rFonts w:ascii="Times New Roman" w:eastAsia="Times New Roman" w:hAnsi="Times New Roman" w:cs="Times New Roman"/>
      <w:i/>
      <w:iCs/>
      <w:color w:val="000000" w:themeColor="text1"/>
      <w:sz w:val="24"/>
      <w:szCs w:val="24"/>
      <w:lang w:eastAsia="en-GB"/>
    </w:rPr>
  </w:style>
  <w:style w:type="character" w:styleId="IntenseEmphasis">
    <w:name w:val="Intense Emphasis"/>
    <w:basedOn w:val="DefaultParagraphFont"/>
    <w:uiPriority w:val="21"/>
    <w:qFormat/>
    <w:rsid w:val="004F1A49"/>
    <w:rPr>
      <w:rFonts w:ascii="Arial" w:hAnsi="Arial" w:cs="Arial"/>
      <w:b/>
      <w:bCs/>
      <w:color w:val="5F497A" w:themeColor="accent4" w:themeShade="BF"/>
    </w:rPr>
  </w:style>
  <w:style w:type="paragraph" w:styleId="NoSpacing">
    <w:name w:val="No Spacing"/>
    <w:uiPriority w:val="1"/>
    <w:qFormat/>
    <w:rsid w:val="00BA5A67"/>
    <w:pPr>
      <w:spacing w:after="0" w:line="240" w:lineRule="auto"/>
    </w:pPr>
    <w:rPr>
      <w:rFonts w:ascii="Arial" w:eastAsia="Times New Roman" w:hAnsi="Arial" w:cs="Arial"/>
      <w:iCs/>
      <w:color w:val="000000" w:themeColor="tex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406080">
      <w:bodyDiv w:val="1"/>
      <w:marLeft w:val="0"/>
      <w:marRight w:val="0"/>
      <w:marTop w:val="0"/>
      <w:marBottom w:val="0"/>
      <w:divBdr>
        <w:top w:val="none" w:sz="0" w:space="0" w:color="auto"/>
        <w:left w:val="none" w:sz="0" w:space="0" w:color="auto"/>
        <w:bottom w:val="none" w:sz="0" w:space="0" w:color="auto"/>
        <w:right w:val="none" w:sz="0" w:space="0" w:color="auto"/>
      </w:divBdr>
    </w:div>
    <w:div w:id="1994214967">
      <w:bodyDiv w:val="1"/>
      <w:marLeft w:val="0"/>
      <w:marRight w:val="0"/>
      <w:marTop w:val="0"/>
      <w:marBottom w:val="0"/>
      <w:divBdr>
        <w:top w:val="none" w:sz="0" w:space="0" w:color="auto"/>
        <w:left w:val="none" w:sz="0" w:space="0" w:color="auto"/>
        <w:bottom w:val="none" w:sz="0" w:space="0" w:color="auto"/>
        <w:right w:val="none" w:sz="0" w:space="0" w:color="auto"/>
      </w:divBdr>
      <w:divsChild>
        <w:div w:id="1652636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365-2923.2011.04076.x/fu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o2k0qci4747qecahf07gktt.wpengine.netdna-cdn.com/wp-content/uploads/2016/10/Definitions-of-Cannulation-Techniques-used-for-Arteriovenous-Fistulae-and-Grafts-for-Haemodialysi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3765-6286-4088-AA7D-85C273E6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DHFT</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Leeanne Lockley</cp:lastModifiedBy>
  <cp:revision>2</cp:revision>
  <dcterms:created xsi:type="dcterms:W3CDTF">2018-04-06T13:31:00Z</dcterms:created>
  <dcterms:modified xsi:type="dcterms:W3CDTF">2018-04-06T13:31:00Z</dcterms:modified>
</cp:coreProperties>
</file>